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891C5">
      <w:pPr>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附件6</w:t>
      </w:r>
    </w:p>
    <w:p w14:paraId="3D841008">
      <w:pPr>
        <w:jc w:val="center"/>
        <w:rPr>
          <w:rFonts w:hint="eastAsia" w:ascii="方正小标宋简体" w:hAnsi="方正小标宋简体" w:eastAsia="方正小标宋简体" w:cs="方正小标宋简体"/>
          <w:sz w:val="36"/>
          <w:szCs w:val="36"/>
          <w:lang w:val="en-US" w:eastAsia="zh-CN"/>
        </w:rPr>
      </w:pPr>
    </w:p>
    <w:p w14:paraId="11BA857E">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兰州职业技术学院实验室安全分级分类管理办法</w:t>
      </w:r>
    </w:p>
    <w:p w14:paraId="261620C2">
      <w:pPr>
        <w:jc w:val="center"/>
        <w:rPr>
          <w:rFonts w:hint="eastAsia" w:ascii="方正小标宋简体" w:hAnsi="方正小标宋简体" w:eastAsia="方正小标宋简体" w:cs="方正小标宋简体"/>
          <w:sz w:val="36"/>
          <w:szCs w:val="36"/>
          <w:lang w:val="en-US" w:eastAsia="zh-CN"/>
        </w:rPr>
      </w:pPr>
      <w:r>
        <w:rPr>
          <w:rFonts w:hint="eastAsia" w:ascii="仿宋_GB2312" w:hAnsi="仿宋_GB2312" w:eastAsia="仿宋_GB2312" w:cs="仿宋_GB2312"/>
          <w:sz w:val="32"/>
          <w:szCs w:val="32"/>
          <w:lang w:val="en-US" w:eastAsia="zh-CN"/>
        </w:rPr>
        <w:t>（试行）</w:t>
      </w:r>
    </w:p>
    <w:p w14:paraId="25D3AB97">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第一章  总  则</w:t>
      </w:r>
    </w:p>
    <w:p w14:paraId="4525DB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为加强</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实验室安全精细化管理，落实实验室安全主体责任，提高安全管理的科学化、规范化和专业化水平，实现对实验室安全风险的有效性和针对性管控，</w:t>
      </w:r>
      <w:r>
        <w:rPr>
          <w:rFonts w:hint="eastAsia" w:ascii="仿宋_GB2312" w:hAnsi="仿宋_GB2312" w:eastAsia="仿宋_GB2312" w:cs="仿宋_GB2312"/>
          <w:sz w:val="32"/>
          <w:szCs w:val="32"/>
          <w:lang w:val="en-US" w:eastAsia="zh-CN"/>
        </w:rPr>
        <w:t>依据</w:t>
      </w:r>
      <w:r>
        <w:rPr>
          <w:rFonts w:hint="eastAsia" w:ascii="仿宋_GB2312" w:hAnsi="仿宋_GB2312" w:eastAsia="仿宋_GB2312" w:cs="仿宋_GB2312"/>
          <w:sz w:val="32"/>
          <w:szCs w:val="32"/>
        </w:rPr>
        <w:t>《中华人民共和国安全生产法》</w:t>
      </w:r>
      <w:r>
        <w:rPr>
          <w:rFonts w:hint="eastAsia" w:ascii="仿宋_GB2312" w:hAnsi="仿宋_GB2312" w:eastAsia="仿宋_GB2312" w:cs="仿宋_GB2312"/>
          <w:sz w:val="32"/>
          <w:szCs w:val="32"/>
          <w:lang w:eastAsia="zh-CN"/>
        </w:rPr>
        <w:t>《教育部高等学校实验室安全分级分类管理办法（试行）》</w:t>
      </w:r>
      <w:r>
        <w:rPr>
          <w:rFonts w:hint="eastAsia" w:ascii="仿宋_GB2312" w:hAnsi="仿宋_GB2312" w:eastAsia="仿宋_GB2312" w:cs="仿宋_GB2312"/>
          <w:sz w:val="32"/>
          <w:szCs w:val="32"/>
        </w:rPr>
        <w:t>等法律法规，结合</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实际，制定本办法。</w:t>
      </w:r>
    </w:p>
    <w:p w14:paraId="44650A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本办法中的实验室是指隶属于学院从事教学、科研等实验、实训活动的场所及其所属设施，以房间为管理单元。中试性质和工业化放大性质的试验场所及其所属设施不在本办法管理范围内，如涉及相关场所应根据相关法律法规及标准规范制定相关管理办法。</w:t>
      </w:r>
      <w:r>
        <w:rPr>
          <w:rFonts w:hint="eastAsia" w:ascii="仿宋_GB2312" w:hAnsi="仿宋_GB2312" w:eastAsia="仿宋_GB2312" w:cs="仿宋_GB2312"/>
          <w:sz w:val="32"/>
          <w:szCs w:val="32"/>
        </w:rPr>
        <w:t xml:space="preserve">  </w:t>
      </w:r>
    </w:p>
    <w:p w14:paraId="565AB4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本办法中的</w:t>
      </w:r>
      <w:r>
        <w:rPr>
          <w:rFonts w:hint="eastAsia" w:ascii="仿宋_GB2312" w:hAnsi="仿宋_GB2312" w:eastAsia="仿宋_GB2312" w:cs="仿宋_GB2312"/>
          <w:sz w:val="32"/>
          <w:szCs w:val="32"/>
        </w:rPr>
        <w:t>实验室安全分级分类是根据危险源的特性和可能导致（引发）危险的严重程度进行安全风险评估（评价），并配套专业化安全管理和预防措施。</w:t>
      </w:r>
    </w:p>
    <w:p w14:paraId="0BBE88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第四条  </w:t>
      </w:r>
      <w:r>
        <w:rPr>
          <w:rFonts w:hint="eastAsia" w:ascii="仿宋_GB2312" w:hAnsi="仿宋_GB2312" w:eastAsia="仿宋_GB2312" w:cs="仿宋_GB2312"/>
          <w:sz w:val="32"/>
          <w:szCs w:val="32"/>
        </w:rPr>
        <w:t>本办法中所称的危险源是指可能导致人身伤害或疾病、物质财产损失、工作环境破坏等的根源、状态、行为，或其组合；危险源辨识指识别危险源的存在并确定其特性的过程；风险评价指对危险源导致的风险进行评价，对现有控制措施的充分性加以考虑以及对风险是否可接受予以确定的过程。</w:t>
      </w:r>
    </w:p>
    <w:p w14:paraId="75B577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第五条  </w:t>
      </w:r>
      <w:r>
        <w:rPr>
          <w:rFonts w:hint="eastAsia" w:ascii="仿宋_GB2312" w:hAnsi="仿宋_GB2312" w:eastAsia="仿宋_GB2312" w:cs="仿宋_GB2312"/>
          <w:sz w:val="32"/>
          <w:szCs w:val="32"/>
        </w:rPr>
        <w:t>本办法适用于</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各级各类教学实验室及相关实训场所（以下统称“实验室”）。实验室分级分类以房间为单位，按照所涉及的危险源及安全风险程度进行分类和风险等级的认定。</w:t>
      </w:r>
    </w:p>
    <w:p w14:paraId="7CAA60DC">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管理体系与职责</w:t>
      </w:r>
    </w:p>
    <w:p w14:paraId="2E8F4D26">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学院党政主要负责人是第一责任人，分管实验室工作的院领导是重要领导责任人，协助第一责任人负责实验室安全分级分类工作，其他院领导在分管工作范围内对实验室安全分级分类工作负有支持、监督和指导职责。</w:t>
      </w:r>
    </w:p>
    <w:p w14:paraId="6C4CF396">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教务处全面负责指导实验室开展安全分级分类管理工作。制定实验室安全分级分类管理办法，统筹开展全院实验室分级分类认定工作，并建立全院实验室安全分级分类管理台账。</w:t>
      </w:r>
    </w:p>
    <w:p w14:paraId="46032A05">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二级学院、信息技术处（以下简称二级单位）作为实验室安全分级分类管理的责任单位，负责组织本单位实验室落实分级分类及安全管理要求，审核确认所属实验室类别和风险等级，建立本单位实验室安全分级分类管理台账，及时录入信息化管理系统或电子造册，并提交教务处备案。二级单位党政负责人是本单位实验室安全分级分类管理工作主要领导责任人。</w:t>
      </w:r>
    </w:p>
    <w:p w14:paraId="5997E567">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第九条  实验室应按照学院实验室安全分级分类管理办法要求，判定本实验室类别和风险等级，并报本实验室所属二级单位审核确认。实验室安全管理责任人是本实验室安全分级分类管理工作的直接责任人。</w:t>
      </w:r>
      <w:r>
        <w:rPr>
          <w:rFonts w:hint="eastAsia" w:ascii="仿宋_GB2312" w:hAnsi="仿宋_GB2312" w:eastAsia="仿宋_GB2312" w:cs="仿宋_GB2312"/>
          <w:sz w:val="32"/>
          <w:szCs w:val="32"/>
        </w:rPr>
        <w:t xml:space="preserve"> </w:t>
      </w:r>
    </w:p>
    <w:p w14:paraId="37DB16D4">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三</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分级分类原则与管理</w:t>
      </w:r>
    </w:p>
    <w:p w14:paraId="4C80742E">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十</w:t>
      </w:r>
      <w:r>
        <w:rPr>
          <w:rFonts w:hint="default" w:ascii="仿宋_GB2312" w:hAnsi="仿宋_GB2312" w:eastAsia="仿宋_GB2312" w:cs="仿宋_GB2312"/>
          <w:sz w:val="32"/>
          <w:szCs w:val="32"/>
          <w:lang w:val="en-US" w:eastAsia="zh-CN"/>
        </w:rPr>
        <w:t>条  实验室安全分级是指根据实验室中存在的危险源及其存量进行风险评价，判定本实验室安全等级。实验室安全等级可分为Ⅰ、Ⅱ、Ⅲ、Ⅳ级（或红、橙、黄、蓝级），分别对应重大风险、高风险、中风险、低风险等级的实验室。</w:t>
      </w:r>
      <w:r>
        <w:rPr>
          <w:rFonts w:hint="default" w:ascii="仿宋_GB2312" w:hAnsi="仿宋_GB2312" w:eastAsia="仿宋_GB2312" w:cs="仿宋_GB2312"/>
          <w:color w:val="auto"/>
          <w:sz w:val="32"/>
          <w:szCs w:val="32"/>
          <w:lang w:val="en-US" w:eastAsia="zh-CN"/>
        </w:rPr>
        <w:t>等级划分可参考《高校实验室安全分级表》（附件1）和《高校实验室安全风险评价表》（附件2）。</w:t>
      </w:r>
    </w:p>
    <w:p w14:paraId="6F8A5695">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十一</w:t>
      </w:r>
      <w:r>
        <w:rPr>
          <w:rFonts w:hint="default" w:ascii="仿宋_GB2312" w:hAnsi="仿宋_GB2312" w:eastAsia="仿宋_GB2312" w:cs="仿宋_GB2312"/>
          <w:sz w:val="32"/>
          <w:szCs w:val="32"/>
          <w:lang w:val="en-US" w:eastAsia="zh-CN"/>
        </w:rPr>
        <w:t>条  实验室安全分类是指依据实验室中存在的主要危险源类别判定实验室安全类别。同一间实验室涉及危险源种类较多的，可依据等级最高的危险源来判定其类别。</w:t>
      </w:r>
    </w:p>
    <w:p w14:paraId="41833A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rPr>
        <w:t>条  实验室安全分类主要根据实验场所中涉及的危险源类别进行划分，结合</w:t>
      </w:r>
      <w:r>
        <w:rPr>
          <w:rFonts w:hint="eastAsia" w:ascii="仿宋_GB2312" w:hAnsi="仿宋_GB2312" w:eastAsia="仿宋_GB2312" w:cs="仿宋_GB2312"/>
          <w:sz w:val="32"/>
          <w:szCs w:val="32"/>
          <w:lang w:val="en-US" w:eastAsia="zh-CN"/>
        </w:rPr>
        <w:t>学院各校区实际、专业</w:t>
      </w:r>
      <w:r>
        <w:rPr>
          <w:rFonts w:hint="eastAsia" w:ascii="仿宋_GB2312" w:hAnsi="仿宋_GB2312" w:eastAsia="仿宋_GB2312" w:cs="仿宋_GB2312"/>
          <w:sz w:val="32"/>
          <w:szCs w:val="32"/>
        </w:rPr>
        <w:t>设置及教学</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特点，将实验室分为</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化学</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生物类、汽车机电</w:t>
      </w:r>
      <w:r>
        <w:rPr>
          <w:rFonts w:hint="eastAsia" w:ascii="仿宋_GB2312" w:hAnsi="仿宋_GB2312" w:eastAsia="仿宋_GB2312" w:cs="仿宋_GB2312"/>
          <w:sz w:val="32"/>
          <w:szCs w:val="32"/>
        </w:rPr>
        <w:t>类、电子类和其他类。</w:t>
      </w:r>
    </w:p>
    <w:p w14:paraId="61D7C3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（一）化学类实验室</w:t>
      </w:r>
    </w:p>
    <w:p w14:paraId="4D247F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化学类实验室包括从事化学、药学、化学工程、环境科学与工程、材料科学与工程等较多涉及化学试剂或化学反应的实验室。这类实验中的危险源分为两类，一类是易燃、易爆、有毒化学品（含实验气体）可能带来的化学性危险源，另一类是设备设施缺陷和防护缺陷所带来的物理性危险源。实验室从事的实验研究中涉及风险性大的因素，应明示于分级分类的标牌上，起到警示作用。管理重点是剧毒、易制毒、易制爆、麻醉和精神类药品、国家应急管理部重点监管的危险化学品、实验气体、化学废弃物等的安全管理。</w:t>
      </w:r>
    </w:p>
    <w:p w14:paraId="3D5877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（二）生物类实验室</w:t>
      </w:r>
    </w:p>
    <w:p w14:paraId="658D35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物类实验室包括从事基因工程、微生物学等生物和医学专业中较多涉及病毒、细菌、真菌等微生物研究和动物研究的实验室。这类实验室中细菌、病毒、真菌、寄生虫、动物寄生微生物等为主要危险源，它们的释放、扩散可能会污染实验室内外环境的空气、水、物体表面或感染人体。涉及病原微生物的实验室应进行相应的审批或备案。管理重点是开展病原微生物研究和实验必须在具备相应安全等级的实验场所进行，开展实验动物相关工作必须具有相应的许可证（包括生产许可证、使用许可证、从业人员资格证等），使用的实验动物及相关产品必须来自有实验动物生产许可证的单位且质量合格。</w:t>
      </w:r>
    </w:p>
    <w:p w14:paraId="4167B8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汽车机电</w:t>
      </w:r>
      <w:r>
        <w:rPr>
          <w:rFonts w:hint="eastAsia" w:ascii="仿宋_GB2312" w:hAnsi="仿宋_GB2312" w:eastAsia="仿宋_GB2312" w:cs="仿宋_GB2312"/>
          <w:sz w:val="32"/>
          <w:szCs w:val="32"/>
        </w:rPr>
        <w:t>类实验室</w:t>
      </w:r>
    </w:p>
    <w:p w14:paraId="1627B4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汽车机电类实验室包括从事</w:t>
      </w:r>
      <w:r>
        <w:rPr>
          <w:rFonts w:hint="eastAsia" w:ascii="仿宋_GB2312" w:hAnsi="仿宋_GB2312" w:eastAsia="仿宋_GB2312" w:cs="仿宋_GB2312"/>
          <w:sz w:val="32"/>
          <w:szCs w:val="32"/>
          <w:lang w:val="en-US" w:eastAsia="zh-CN"/>
        </w:rPr>
        <w:t>汽车工程、</w:t>
      </w:r>
      <w:r>
        <w:rPr>
          <w:rFonts w:hint="eastAsia" w:ascii="仿宋_GB2312" w:hAnsi="仿宋_GB2312" w:eastAsia="仿宋_GB2312" w:cs="仿宋_GB2312"/>
          <w:sz w:val="32"/>
          <w:szCs w:val="32"/>
        </w:rPr>
        <w:t>机械设计与制造、过程装备与控制、化工机械、材料物理、电气工程、激光工程和人工智能等专业方向中较多涉及</w:t>
      </w:r>
      <w:r>
        <w:rPr>
          <w:rFonts w:hint="eastAsia" w:ascii="仿宋_GB2312" w:hAnsi="仿宋_GB2312" w:eastAsia="仿宋_GB2312" w:cs="仿宋_GB2312"/>
          <w:sz w:val="32"/>
          <w:szCs w:val="32"/>
          <w:lang w:val="en-US" w:eastAsia="zh-CN"/>
        </w:rPr>
        <w:t>汽车设备、</w:t>
      </w:r>
      <w:r>
        <w:rPr>
          <w:rFonts w:hint="eastAsia" w:ascii="仿宋_GB2312" w:hAnsi="仿宋_GB2312" w:eastAsia="仿宋_GB2312" w:cs="仿宋_GB2312"/>
          <w:sz w:val="32"/>
          <w:szCs w:val="32"/>
        </w:rPr>
        <w:t>机械设备、电气设备、特种设备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主要危险源包括</w:t>
      </w:r>
      <w:r>
        <w:rPr>
          <w:rFonts w:hint="eastAsia" w:ascii="仿宋_GB2312" w:hAnsi="仿宋_GB2312" w:eastAsia="仿宋_GB2312" w:cs="仿宋_GB2312"/>
          <w:sz w:val="32"/>
          <w:szCs w:val="32"/>
          <w:lang w:val="en-US" w:eastAsia="zh-CN"/>
        </w:rPr>
        <w:t>汽车类设备与工具、</w:t>
      </w:r>
      <w:r>
        <w:rPr>
          <w:rFonts w:hint="eastAsia" w:ascii="仿宋_GB2312" w:hAnsi="仿宋_GB2312" w:eastAsia="仿宋_GB2312" w:cs="仿宋_GB2312"/>
          <w:sz w:val="32"/>
          <w:szCs w:val="32"/>
        </w:rPr>
        <w:t>机械加工类设备与工具、高压及大电流设备、激光设备等的实验室。涉及高温、高压、高速、高大等机械设备及其他强电、强磁、激光或低温设备的实验室，以及大型机房等。这类实验室的主要危险包括夹击、碰撞、剪切、卷入、绞、碾、割、刺等形式的机械伤害以及灼伤、电路短路、人员触电、激光伤害、冻伤等因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管理重点是高温、高压、高速运动等特殊设备及机械、电气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燃油</w:t>
      </w:r>
      <w:r>
        <w:rPr>
          <w:rFonts w:hint="eastAsia" w:ascii="仿宋_GB2312" w:hAnsi="仿宋_GB2312" w:eastAsia="仿宋_GB2312" w:cs="仿宋_GB2312"/>
          <w:sz w:val="32"/>
          <w:szCs w:val="32"/>
        </w:rPr>
        <w:t>等的安全管理，特种设备应按要求取得《特种设备使用登记证》《压力容器登记卡》或其他有关登记证件，定期检验，操作人员持证上岗并严格遵守操作规程。</w:t>
      </w:r>
    </w:p>
    <w:p w14:paraId="5C50E7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）电子类实验室</w:t>
      </w:r>
    </w:p>
    <w:p w14:paraId="75F1F8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类实验室包括计算机科学与技术、电子信息、通讯工程、测控技术等专业方向中较多涉及计算机、电路板等的实验室，也包括各专业设立的机房。这类实验室主要危险源是带电导体上的电能，如人员触电、电路短路、焊接灼伤等。管理重点是用电设备的管理。</w:t>
      </w:r>
    </w:p>
    <w:p w14:paraId="2B6D3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）其他类实验室</w:t>
      </w:r>
    </w:p>
    <w:p w14:paraId="690E43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其他类实验室主要是指不包括上述危险源的实验场所，如社科类、艺术类、体育类等专业相关的实验室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危险源主要是少量的用电设备或消防安全风险可能带来的安全风险，管理重点是规范用电。</w:t>
      </w:r>
    </w:p>
    <w:p w14:paraId="706D34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十三</w:t>
      </w:r>
      <w:r>
        <w:rPr>
          <w:rFonts w:hint="eastAsia" w:ascii="仿宋_GB2312" w:hAnsi="仿宋_GB2312" w:eastAsia="仿宋_GB2312" w:cs="仿宋_GB2312"/>
          <w:sz w:val="32"/>
          <w:szCs w:val="32"/>
        </w:rPr>
        <w:t>条  以上各类实验室应严格遵守国家及</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相关法规制度要求，履行各类安全审验和报批程序，</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单位在实验室风险评价的基础上，针对危险源实施差异化管理。</w:t>
      </w:r>
    </w:p>
    <w:p w14:paraId="7DFD44DA">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条  实验室分级分类结果和所涉及的主要危险源应在实验室门外的安全信息牌上标明，并及时更新。</w:t>
      </w:r>
    </w:p>
    <w:p w14:paraId="4DF922FD">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条  实验室的用途如研究内容、危险源类型与数量等因素发生变化时，实验室应立即重新进行危险源辨识和安全风险评价，重新判定实验室安全类别及级别，如需变更应立即报告所属二级单位。二级单位应及时修正本单位实验室安全分级分类管理台账，同时报</w:t>
      </w:r>
      <w:r>
        <w:rPr>
          <w:rFonts w:hint="eastAsia" w:ascii="仿宋_GB2312" w:hAnsi="仿宋_GB2312" w:eastAsia="仿宋_GB2312" w:cs="仿宋_GB2312"/>
          <w:sz w:val="32"/>
          <w:szCs w:val="32"/>
          <w:lang w:val="en-US" w:eastAsia="zh-CN"/>
        </w:rPr>
        <w:t>教务处</w:t>
      </w:r>
      <w:r>
        <w:rPr>
          <w:rFonts w:hint="default" w:ascii="仿宋_GB2312" w:hAnsi="仿宋_GB2312" w:eastAsia="仿宋_GB2312" w:cs="仿宋_GB2312"/>
          <w:sz w:val="32"/>
          <w:szCs w:val="32"/>
          <w:lang w:val="en-US" w:eastAsia="zh-CN"/>
        </w:rPr>
        <w:t>备案。</w:t>
      </w:r>
    </w:p>
    <w:p w14:paraId="2EB4079C">
      <w:pPr>
        <w:keepNext w:val="0"/>
        <w:keepLines w:val="0"/>
        <w:pageBreakBefore w:val="0"/>
        <w:widowControl w:val="0"/>
        <w:kinsoku/>
        <w:wordWrap/>
        <w:overflowPunct/>
        <w:topLinePunct w:val="0"/>
        <w:autoSpaceDE/>
        <w:autoSpaceDN/>
        <w:bidi w:val="0"/>
        <w:adjustRightInd w:val="0"/>
        <w:snapToGrid w:val="0"/>
        <w:spacing w:after="157" w:afterLines="50" w:line="560" w:lineRule="exact"/>
        <w:ind w:left="0" w:leftChars="0" w:firstLine="640" w:firstLineChars="200"/>
        <w:jc w:val="both"/>
        <w:textAlignment w:val="auto"/>
        <w:rPr>
          <w:rFonts w:hint="default" w:ascii="黑体" w:hAnsi="黑体" w:eastAsia="黑体" w:cs="黑体"/>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 xml:space="preserve">条  新建、改扩建实验室时，危险源辨识和安全风险评价应与建设项目同步进行，实验室安全分级分类工作应与项目同步完成。 </w:t>
      </w:r>
      <w:r>
        <w:rPr>
          <w:rFonts w:hint="default" w:ascii="黑体" w:hAnsi="黑体" w:eastAsia="黑体" w:cs="黑体"/>
          <w:sz w:val="32"/>
          <w:szCs w:val="32"/>
          <w:lang w:val="en-US" w:eastAsia="zh-CN"/>
        </w:rPr>
        <w:t xml:space="preserve"> </w:t>
      </w:r>
    </w:p>
    <w:p w14:paraId="0463D360">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eastAsia" w:ascii="仿宋_GB2312" w:hAnsi="仿宋_GB2312" w:eastAsia="黑体" w:cs="仿宋_GB2312"/>
          <w:sz w:val="32"/>
          <w:szCs w:val="32"/>
          <w:lang w:val="en-US" w:eastAsia="zh-CN"/>
        </w:rPr>
      </w:pPr>
      <w:r>
        <w:rPr>
          <w:rFonts w:hint="eastAsia" w:ascii="黑体" w:hAnsi="黑体" w:eastAsia="黑体" w:cs="黑体"/>
          <w:sz w:val="32"/>
          <w:szCs w:val="32"/>
        </w:rPr>
        <w:t xml:space="preserve">第四章  </w:t>
      </w:r>
      <w:r>
        <w:rPr>
          <w:rFonts w:hint="eastAsia" w:ascii="黑体" w:hAnsi="黑体" w:eastAsia="黑体" w:cs="黑体"/>
          <w:sz w:val="32"/>
          <w:szCs w:val="32"/>
          <w:lang w:val="en-US" w:eastAsia="zh-CN"/>
        </w:rPr>
        <w:t>分险等级认定</w:t>
      </w:r>
      <w:r>
        <w:rPr>
          <w:rFonts w:hint="eastAsia" w:ascii="黑体" w:hAnsi="黑体" w:eastAsia="黑体" w:cs="黑体"/>
          <w:sz w:val="32"/>
          <w:szCs w:val="32"/>
        </w:rPr>
        <w:t>与</w:t>
      </w:r>
      <w:r>
        <w:rPr>
          <w:rFonts w:hint="eastAsia" w:ascii="黑体" w:hAnsi="黑体" w:eastAsia="黑体" w:cs="黑体"/>
          <w:sz w:val="32"/>
          <w:szCs w:val="32"/>
          <w:lang w:val="en-US" w:eastAsia="zh-CN"/>
        </w:rPr>
        <w:t>管理</w:t>
      </w:r>
    </w:p>
    <w:p w14:paraId="276F30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条  安全风险等级认定</w:t>
      </w:r>
      <w:r>
        <w:rPr>
          <w:rFonts w:hint="eastAsia" w:ascii="仿宋_GB2312" w:hAnsi="仿宋_GB2312" w:eastAsia="仿宋_GB2312" w:cs="仿宋_GB2312"/>
          <w:sz w:val="32"/>
          <w:szCs w:val="32"/>
          <w:lang w:val="en-US" w:eastAsia="zh-CN"/>
        </w:rPr>
        <w:t>参考</w:t>
      </w:r>
      <w:r>
        <w:rPr>
          <w:rFonts w:hint="eastAsia" w:ascii="仿宋_GB2312" w:hAnsi="仿宋_GB2312" w:eastAsia="仿宋_GB2312" w:cs="仿宋_GB2312"/>
          <w:sz w:val="32"/>
          <w:szCs w:val="32"/>
          <w:lang w:eastAsia="zh-CN"/>
        </w:rPr>
        <w:t>《高校实验室安全风险评价表》</w:t>
      </w: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lang w:eastAsia="zh-CN"/>
        </w:rPr>
        <w:t>。</w:t>
      </w:r>
    </w:p>
    <w:p w14:paraId="56590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（一）Ⅰ级安全风险实验室</w:t>
      </w:r>
    </w:p>
    <w:p w14:paraId="6B18F0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Ⅰ级安全风险实验室，危险源最多，风险最大。</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《高校实验室安全风险评价表》评分≥</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分，涉及其中一项的实验室确定为Ⅰ级安全风险实验室。</w:t>
      </w:r>
    </w:p>
    <w:p w14:paraId="4A4261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（二）Ⅱ级安全风险实验室</w:t>
      </w:r>
    </w:p>
    <w:p w14:paraId="32E728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Ⅱ级安全风险实验室，危险源数量中等，风险程度中等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按照《高校实验室安全风险评价表》评分，</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分≤评分＜</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0分，涉及其中一项的实验室确定为Ⅱ级安全风险实验室。</w:t>
      </w:r>
    </w:p>
    <w:p w14:paraId="53F9EF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（三）Ⅲ级安全风险实验室</w:t>
      </w:r>
    </w:p>
    <w:p w14:paraId="36F079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Ⅲ级安全风险实验室，危险源数量较少，风险程度较低。按照《高校实验室安全风险评价表》评分，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分≤评分＜</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分，涉及其中一项的实验室确定为Ⅲ级安全风险实验室。</w:t>
      </w:r>
    </w:p>
    <w:p w14:paraId="28B718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（四）Ⅳ级安全风险实验室</w:t>
      </w:r>
    </w:p>
    <w:p w14:paraId="580BB5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Ⅳ级安全风险实验室，危险源数量少，风险程度低。未列入以上3类的或按照《高校实验室安全风险评价表》评分＜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分的实验室定为Ⅳ级安全风险实验室。</w:t>
      </w:r>
    </w:p>
    <w:p w14:paraId="0CCE30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条  在实验室安全风险等级认定中，对危险源和危险程度存在争议或按上述原则无法确定等级的，实验室</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负责人将实验室危险源情况、争议的问题及不能确定的原因报所在</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单位实验室安全工作组进行审核，确定实验室安全风险等级。</w:t>
      </w:r>
    </w:p>
    <w:p w14:paraId="361670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条  实验室安全风险分级</w:t>
      </w:r>
      <w:r>
        <w:rPr>
          <w:rFonts w:hint="eastAsia" w:ascii="仿宋_GB2312" w:hAnsi="仿宋_GB2312" w:eastAsia="仿宋_GB2312" w:cs="仿宋_GB2312"/>
          <w:sz w:val="32"/>
          <w:szCs w:val="32"/>
          <w:lang w:val="en-US" w:eastAsia="zh-CN"/>
        </w:rPr>
        <w:t>管理</w:t>
      </w:r>
    </w:p>
    <w:p w14:paraId="1267E0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（一）Ⅰ级安全风险实验室</w:t>
      </w:r>
    </w:p>
    <w:p w14:paraId="7ECF0A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1.在实验室安全信息牌上张贴Ⅰ级危险级别警示标志，注明实验室安全责任人、联系方式等信息，并明示危险源及教学</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中可能存在的风险因素。</w:t>
      </w:r>
    </w:p>
    <w:p w14:paraId="3ECD05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2.实验室针对危险源制定相应管理办法和应急管控措施，责任到人；配备完善的安全技防设施，张贴安全警示标识。</w:t>
      </w:r>
    </w:p>
    <w:p w14:paraId="19F47E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3.实验室要结合本实验室特点和实际定期对相关实验、管理人员进行专项安全教育培训，开展应急演练，做好相应记录，报</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单位备案；实验人员取得安全基本准入合格证和实验室安全专项准入合格证后，方可进入实验室开展实验。</w:t>
      </w:r>
    </w:p>
    <w:p w14:paraId="39D58D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4.实验室每天进行安全自查，并安排专人对所涉及的危险源进行安全自查，做好检查记录；教学</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单位每周至少进行一次检查并有相关记录；</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督导专家每月至少进行一次督查并报</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备案；在</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组织的实验室安全检查中列为检查重点。</w:t>
      </w:r>
    </w:p>
    <w:p w14:paraId="429894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（二）Ⅱ级安全风险实验室</w:t>
      </w:r>
    </w:p>
    <w:p w14:paraId="6F0538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1.在实验室安全信息牌上张贴Ⅱ级危险级别警示标志，注明实验室安全责任人、联系方式等信息，并明示危险源及教学</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中可能存在的风险因素。</w:t>
      </w:r>
    </w:p>
    <w:p w14:paraId="270006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2.实验室针对重点危险源制定相应管理办法和应急管控措施，责任到人；配备较完善的安全技防设施，张贴安全警示标识。</w:t>
      </w:r>
    </w:p>
    <w:p w14:paraId="7A37AD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3.实验室要结合本实验室特点和实际定期对相关实验、管理人员进行专项安全教育培训，开展应急演练，做好相应记录，报</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单位备案；实验人员取得安全基本准入合格证，经实验室安全专项准入培训后，方可进入实验室开展实验。</w:t>
      </w:r>
    </w:p>
    <w:p w14:paraId="049420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4.实验室每天进行安全自查，并安排专人对所涉及的危险源进行安全自查，做好检查记录；教学</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单位每两周至少进行一次检查并有相关记录；</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督导专家每两个月至少进行一次督查并报</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备案；在</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组织的实验室安全检查中列为检查重点。</w:t>
      </w:r>
    </w:p>
    <w:p w14:paraId="427B35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（三）Ⅲ级安全风险实验室</w:t>
      </w:r>
    </w:p>
    <w:p w14:paraId="2B5FA9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1.在实验室安全信息牌上张贴Ⅲ级危险级别警示标志，注明实验室安全责任人、联系方式等信息，并明示危险源及教学</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中可能存在的风险因素。</w:t>
      </w:r>
    </w:p>
    <w:p w14:paraId="7FA8DE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2.实验室有选择的针对重点危险源制定相应管理办法和应急管控措施；适当配备安全技防设施，张贴安全警示标识。</w:t>
      </w:r>
    </w:p>
    <w:p w14:paraId="12ED2B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3.实验室要结合本实验室特点和实际定期对相关实验、管理人员进行专项安全教育培训，做好相应记录，报</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单位备案；实验人员取得安全基本准入合格证，方可进入实验室开展实验。</w:t>
      </w:r>
    </w:p>
    <w:p w14:paraId="6605F0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4.实验室每天进行安全自查，做好检查记录；教学</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单位每月至少进行一次检查并有相关记录；</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督导专家每学期至少进行一次督查并报</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备案。</w:t>
      </w:r>
    </w:p>
    <w:p w14:paraId="19A768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（四）Ⅳ级安全风险实验室</w:t>
      </w:r>
    </w:p>
    <w:p w14:paraId="528F58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1.在实验室安全信息牌上张贴Ⅳ级危险级别警示标志，注明实验室安全责任人、联系方式等信息。</w:t>
      </w:r>
    </w:p>
    <w:p w14:paraId="446B89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2.实验室对可能存在的安全风险张贴安全警示标识。</w:t>
      </w:r>
    </w:p>
    <w:p w14:paraId="6165C1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3.实验室可结合本实验室特点和实际对相关</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、管理人员进行安全教育，做好相应记录；实验人员取得安全基本准入合格证，方可进入实验室开展实验。</w:t>
      </w:r>
    </w:p>
    <w:p w14:paraId="53605D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4.实验室每天进行安全自查，做好检查记录；教学</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单位每学期至少进行一次检查并有相关记录。</w:t>
      </w:r>
    </w:p>
    <w:p w14:paraId="2DCA57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十条  实验室安全风险等级认定结果，</w:t>
      </w:r>
      <w:r>
        <w:rPr>
          <w:rFonts w:hint="eastAsia" w:ascii="仿宋_GB2312" w:hAnsi="仿宋_GB2312" w:eastAsia="仿宋_GB2312" w:cs="仿宋_GB2312"/>
          <w:sz w:val="32"/>
          <w:szCs w:val="32"/>
          <w:lang w:val="en-US" w:eastAsia="zh-CN"/>
        </w:rPr>
        <w:t>二级单位</w:t>
      </w:r>
      <w:r>
        <w:rPr>
          <w:rFonts w:hint="eastAsia" w:ascii="仿宋_GB2312" w:hAnsi="仿宋_GB2312" w:eastAsia="仿宋_GB2312" w:cs="仿宋_GB2312"/>
          <w:sz w:val="32"/>
          <w:szCs w:val="32"/>
        </w:rPr>
        <w:t>针对不同等级实验室，制定并落实不同等级的管理要求，并按照“突出重点、全面覆盖”的原则加强实验室安全监管，及时保障实验室安全建设与投入。</w:t>
      </w:r>
    </w:p>
    <w:p w14:paraId="09F8A9E0">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第五章  实施与监督检查</w:t>
      </w:r>
    </w:p>
    <w:p w14:paraId="110ECE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二十一</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党政主要负责人、</w:t>
      </w:r>
      <w:r>
        <w:rPr>
          <w:rFonts w:hint="eastAsia" w:ascii="仿宋_GB2312" w:hAnsi="仿宋_GB2312" w:eastAsia="仿宋_GB2312" w:cs="仿宋_GB2312"/>
          <w:sz w:val="32"/>
          <w:szCs w:val="32"/>
          <w:lang w:val="en-US" w:eastAsia="zh-CN"/>
        </w:rPr>
        <w:t>教务处</w:t>
      </w:r>
      <w:r>
        <w:rPr>
          <w:rFonts w:hint="eastAsia" w:ascii="仿宋_GB2312" w:hAnsi="仿宋_GB2312" w:eastAsia="仿宋_GB2312" w:cs="仿宋_GB2312"/>
          <w:sz w:val="32"/>
          <w:szCs w:val="32"/>
        </w:rPr>
        <w:t>、二级单位、实验室等各级责任机构应根据学</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、二级单位和本实验室实际情况，分级开展相应的安全检查工作。在重大隐患未完成整改前，不得在实验室中进行实验活动。</w:t>
      </w:r>
    </w:p>
    <w:p w14:paraId="2F17B5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条  实验室负责人、实验室安全管理</w:t>
      </w:r>
      <w:r>
        <w:rPr>
          <w:rFonts w:hint="eastAsia" w:ascii="仿宋_GB2312" w:hAnsi="仿宋_GB2312" w:eastAsia="仿宋_GB2312" w:cs="仿宋_GB2312"/>
          <w:sz w:val="32"/>
          <w:szCs w:val="32"/>
          <w:lang w:val="en-US" w:eastAsia="zh-CN"/>
        </w:rPr>
        <w:t>责任人</w:t>
      </w:r>
      <w:r>
        <w:rPr>
          <w:rFonts w:hint="eastAsia" w:ascii="仿宋_GB2312" w:hAnsi="仿宋_GB2312" w:eastAsia="仿宋_GB2312" w:cs="仿宋_GB2312"/>
          <w:sz w:val="32"/>
          <w:szCs w:val="32"/>
        </w:rPr>
        <w:t>和实验人员等应根据所在实验室类别和安全等级，接受相应等级的安全培训并开展相应的应急演练。</w:t>
      </w:r>
    </w:p>
    <w:p w14:paraId="2FCF4E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条  在实验室开展的</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项目、学生课题，或其他</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活动应进行相应等级的安全风险评估。涉及重要危险源的实验活动，二级单位应进行审查、备案，</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应不定期抽查。Ⅰ级/红色级、Ⅱ级/橙色级实验室应针对重要危险源制定相应的管理办法和应急管控措施，责任到人。</w:t>
      </w:r>
    </w:p>
    <w:p w14:paraId="1185FD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  实验室应配备适用于其安全风险级别的安全设施设备和安全管理人员。高风险点位应安装监控和必要的监测报警装置。实验室应配备必要的个体防护设备设施。</w:t>
      </w:r>
    </w:p>
    <w:p w14:paraId="18F9D4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二十五</w:t>
      </w:r>
      <w:r>
        <w:rPr>
          <w:rFonts w:hint="eastAsia" w:ascii="仿宋_GB2312" w:hAnsi="仿宋_GB2312" w:eastAsia="仿宋_GB2312" w:cs="仿宋_GB2312"/>
          <w:sz w:val="32"/>
          <w:szCs w:val="32"/>
        </w:rPr>
        <w:t>条  实验室分级分类实行动态调整。当实验室的使用方向或</w:t>
      </w:r>
      <w:r>
        <w:rPr>
          <w:rFonts w:hint="eastAsia" w:ascii="仿宋_GB2312" w:hAnsi="仿宋_GB2312" w:eastAsia="仿宋_GB2312" w:cs="仿宋_GB2312"/>
          <w:sz w:val="32"/>
          <w:szCs w:val="32"/>
          <w:lang w:val="en-US" w:eastAsia="zh-CN"/>
        </w:rPr>
        <w:t>实训</w:t>
      </w:r>
      <w:r>
        <w:rPr>
          <w:rFonts w:hint="eastAsia" w:ascii="仿宋_GB2312" w:hAnsi="仿宋_GB2312" w:eastAsia="仿宋_GB2312" w:cs="仿宋_GB2312"/>
          <w:sz w:val="32"/>
          <w:szCs w:val="32"/>
        </w:rPr>
        <w:t>内容等关键因素发生改变时，实验室应当重新进行危险源辨识和风险评价，并将结果及时向</w:t>
      </w:r>
      <w:r>
        <w:rPr>
          <w:rFonts w:hint="eastAsia" w:ascii="仿宋_GB2312" w:hAnsi="仿宋_GB2312" w:eastAsia="仿宋_GB2312" w:cs="仿宋_GB2312"/>
          <w:sz w:val="32"/>
          <w:szCs w:val="32"/>
          <w:lang w:val="en-US" w:eastAsia="zh-CN"/>
        </w:rPr>
        <w:t>二级单位</w:t>
      </w:r>
      <w:r>
        <w:rPr>
          <w:rFonts w:hint="eastAsia" w:ascii="仿宋_GB2312" w:hAnsi="仿宋_GB2312" w:eastAsia="仿宋_GB2312" w:cs="仿宋_GB2312"/>
          <w:sz w:val="32"/>
          <w:szCs w:val="32"/>
        </w:rPr>
        <w:t>进行风险级别的调整</w:t>
      </w:r>
      <w:r>
        <w:rPr>
          <w:rFonts w:hint="eastAsia" w:ascii="仿宋_GB2312" w:hAnsi="仿宋_GB2312" w:eastAsia="仿宋_GB2312" w:cs="仿宋_GB2312"/>
          <w:sz w:val="32"/>
          <w:szCs w:val="32"/>
          <w:lang w:val="en-US" w:eastAsia="zh-CN"/>
        </w:rPr>
        <w:t>报备</w:t>
      </w:r>
      <w:r>
        <w:rPr>
          <w:rFonts w:hint="eastAsia" w:ascii="仿宋_GB2312" w:hAnsi="仿宋_GB2312" w:eastAsia="仿宋_GB2312" w:cs="仿宋_GB2312"/>
          <w:sz w:val="32"/>
          <w:szCs w:val="32"/>
        </w:rPr>
        <w:t>，以便准确地实施安全监管。</w:t>
      </w:r>
    </w:p>
    <w:p w14:paraId="413D08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 xml:space="preserve">十六条  </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根据实验室安全定级情况，高风险等级实验室较多、承担安全管理任务较重的教学</w:t>
      </w:r>
      <w:r>
        <w:rPr>
          <w:rFonts w:hint="eastAsia" w:ascii="仿宋_GB2312" w:hAnsi="仿宋_GB2312" w:eastAsia="仿宋_GB2312" w:cs="仿宋_GB2312"/>
          <w:sz w:val="32"/>
          <w:szCs w:val="32"/>
          <w:lang w:val="en-US" w:eastAsia="zh-CN"/>
        </w:rPr>
        <w:t>实训二级</w:t>
      </w:r>
      <w:r>
        <w:rPr>
          <w:rFonts w:hint="eastAsia" w:ascii="仿宋_GB2312" w:hAnsi="仿宋_GB2312" w:eastAsia="仿宋_GB2312" w:cs="仿宋_GB2312"/>
          <w:sz w:val="32"/>
          <w:szCs w:val="32"/>
        </w:rPr>
        <w:t>单位，在实验室安全建设投入、实验人员安全培训及目标绩效考核等方面优先给予支持和倾斜。</w:t>
      </w:r>
    </w:p>
    <w:p w14:paraId="3338E4FB">
      <w:pPr>
        <w:keepNext w:val="0"/>
        <w:keepLines w:val="0"/>
        <w:pageBreakBefore w:val="0"/>
        <w:widowControl w:val="0"/>
        <w:kinsoku/>
        <w:wordWrap/>
        <w:overflowPunct/>
        <w:topLinePunct w:val="0"/>
        <w:autoSpaceDE/>
        <w:autoSpaceDN/>
        <w:bidi w:val="0"/>
        <w:adjustRightInd w:val="0"/>
        <w:snapToGrid w:val="0"/>
        <w:spacing w:before="625" w:beforeLines="200" w:after="157" w:afterLines="50"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第六章  附  则</w:t>
      </w:r>
    </w:p>
    <w:p w14:paraId="794820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 xml:space="preserve">十七条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本办法未尽事宜，按国家有关法律、标准执行。 </w:t>
      </w:r>
    </w:p>
    <w:p w14:paraId="2E8CD5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条  本办法自发布之日起施行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教务处</w:t>
      </w:r>
      <w:r>
        <w:rPr>
          <w:rFonts w:hint="eastAsia" w:ascii="仿宋_GB2312" w:hAnsi="仿宋_GB2312" w:eastAsia="仿宋_GB2312" w:cs="仿宋_GB2312"/>
          <w:sz w:val="32"/>
          <w:szCs w:val="32"/>
        </w:rPr>
        <w:t>负责解释。</w:t>
      </w:r>
    </w:p>
    <w:p w14:paraId="40F5AF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C6F59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p>
    <w:p w14:paraId="615F76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附件：1.高校实验室安全分级表</w:t>
      </w:r>
    </w:p>
    <w:p w14:paraId="4FBC5009">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2.高校实验室安全风险评价表</w:t>
      </w:r>
    </w:p>
    <w:p w14:paraId="2C90DB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3606032">
      <w:pPr>
        <w:adjustRightInd w:val="0"/>
        <w:snapToGrid w:val="0"/>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1</w:t>
      </w:r>
    </w:p>
    <w:p w14:paraId="57F6066E">
      <w:pPr>
        <w:spacing w:after="423" w:afterLines="100" w:line="560" w:lineRule="exact"/>
        <w:ind w:firstLine="365" w:firstLineChars="83"/>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高校实验室安全分级表</w:t>
      </w:r>
    </w:p>
    <w:tbl>
      <w:tblPr>
        <w:tblStyle w:val="5"/>
        <w:tblW w:w="8809"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7253"/>
      </w:tblGrid>
      <w:tr w14:paraId="433E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trPr>
        <w:tc>
          <w:tcPr>
            <w:tcW w:w="1556" w:type="dxa"/>
          </w:tcPr>
          <w:p w14:paraId="3066D4B6">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安全级别</w:t>
            </w:r>
          </w:p>
        </w:tc>
        <w:tc>
          <w:tcPr>
            <w:tcW w:w="7253" w:type="dxa"/>
          </w:tcPr>
          <w:p w14:paraId="168655D8">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参考分级依据</w:t>
            </w:r>
          </w:p>
        </w:tc>
      </w:tr>
      <w:tr w14:paraId="308C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8" w:hRule="atLeast"/>
        </w:trPr>
        <w:tc>
          <w:tcPr>
            <w:tcW w:w="1556" w:type="dxa"/>
            <w:vMerge w:val="restart"/>
            <w:vAlign w:val="center"/>
          </w:tcPr>
          <w:p w14:paraId="42ABFF57">
            <w:pPr>
              <w:spacing w:line="240" w:lineRule="auto"/>
              <w:ind w:firstLine="0" w:firstLineChars="0"/>
              <w:jc w:val="center"/>
              <w:rPr>
                <w:rFonts w:eastAsia="仿宋_GB2312" w:cs="Times New Roman"/>
                <w:szCs w:val="24"/>
              </w:rPr>
            </w:pPr>
            <w:r>
              <w:rPr>
                <w:rFonts w:eastAsia="仿宋_GB2312" w:cs="Times New Roman"/>
                <w:szCs w:val="24"/>
              </w:rPr>
              <w:t>Ⅰ级</w:t>
            </w:r>
            <w:r>
              <w:rPr>
                <w:rFonts w:hint="eastAsia" w:eastAsia="仿宋_GB2312" w:cs="Times New Roman"/>
                <w:szCs w:val="24"/>
              </w:rPr>
              <w:t>/红色级</w:t>
            </w:r>
            <w:r>
              <w:rPr>
                <w:rFonts w:eastAsia="仿宋_GB2312" w:cs="Times New Roman"/>
                <w:szCs w:val="24"/>
              </w:rPr>
              <w:t>实验室</w:t>
            </w:r>
            <w:r>
              <w:rPr>
                <w:rFonts w:hint="eastAsia" w:eastAsia="仿宋_GB2312" w:cs="Times New Roman"/>
                <w:szCs w:val="24"/>
              </w:rPr>
              <w:t>（重大风险实验室）</w:t>
            </w:r>
          </w:p>
        </w:tc>
        <w:tc>
          <w:tcPr>
            <w:tcW w:w="7253" w:type="dxa"/>
          </w:tcPr>
          <w:p w14:paraId="72882B05">
            <w:pPr>
              <w:spacing w:line="240" w:lineRule="auto"/>
              <w:ind w:firstLine="0" w:firstLineChars="0"/>
              <w:rPr>
                <w:rFonts w:eastAsia="仿宋_GB2312" w:cs="Times New Roman"/>
                <w:szCs w:val="24"/>
              </w:rPr>
            </w:pPr>
            <w:r>
              <w:rPr>
                <w:rFonts w:eastAsia="仿宋_GB2312" w:cs="Times New Roman"/>
                <w:szCs w:val="24"/>
              </w:rPr>
              <w:t>实验室有以下情况之一的：</w:t>
            </w:r>
          </w:p>
          <w:p w14:paraId="535A01FE">
            <w:pPr>
              <w:pStyle w:val="8"/>
              <w:numPr>
                <w:ilvl w:val="0"/>
                <w:numId w:val="1"/>
              </w:numPr>
              <w:spacing w:line="240" w:lineRule="auto"/>
              <w:ind w:firstLineChars="0"/>
              <w:rPr>
                <w:rFonts w:eastAsia="仿宋_GB2312" w:cs="Times New Roman"/>
                <w:szCs w:val="24"/>
              </w:rPr>
            </w:pPr>
            <w:r>
              <w:rPr>
                <w:rFonts w:eastAsia="仿宋_GB2312" w:cs="Times New Roman"/>
                <w:szCs w:val="24"/>
              </w:rPr>
              <w:t>实验</w:t>
            </w:r>
            <w:r>
              <w:rPr>
                <w:rFonts w:hint="eastAsia" w:eastAsia="仿宋_GB2312" w:cs="Times New Roman"/>
                <w:szCs w:val="24"/>
              </w:rPr>
              <w:t>原料或</w:t>
            </w:r>
            <w:r>
              <w:rPr>
                <w:rFonts w:eastAsia="仿宋_GB2312" w:cs="Times New Roman"/>
                <w:szCs w:val="24"/>
              </w:rPr>
              <w:t>产物含剧毒化学成分；</w:t>
            </w:r>
          </w:p>
          <w:p w14:paraId="0EB74A8A">
            <w:pPr>
              <w:pStyle w:val="8"/>
              <w:numPr>
                <w:ilvl w:val="0"/>
                <w:numId w:val="1"/>
              </w:numPr>
              <w:spacing w:line="240" w:lineRule="auto"/>
              <w:ind w:firstLineChars="0"/>
              <w:rPr>
                <w:rFonts w:eastAsia="仿宋_GB2312" w:cs="Times New Roman"/>
                <w:szCs w:val="24"/>
              </w:rPr>
            </w:pPr>
            <w:r>
              <w:rPr>
                <w:rFonts w:hint="eastAsia" w:eastAsia="仿宋_GB2312" w:cs="Times New Roman"/>
                <w:szCs w:val="24"/>
              </w:rPr>
              <w:t>使用</w:t>
            </w:r>
            <w:r>
              <w:rPr>
                <w:rFonts w:eastAsia="仿宋_GB2312" w:cs="Times New Roman"/>
                <w:szCs w:val="24"/>
              </w:rPr>
              <w:t>剧毒化学品</w:t>
            </w:r>
            <w:r>
              <w:rPr>
                <w:rFonts w:hint="eastAsia" w:eastAsia="仿宋_GB2312" w:cs="Times New Roman"/>
                <w:szCs w:val="24"/>
              </w:rPr>
              <w:t>；</w:t>
            </w:r>
          </w:p>
          <w:p w14:paraId="5FFAB747">
            <w:pPr>
              <w:pStyle w:val="8"/>
              <w:numPr>
                <w:ilvl w:val="0"/>
                <w:numId w:val="1"/>
              </w:numPr>
              <w:spacing w:line="240" w:lineRule="auto"/>
              <w:ind w:firstLineChars="0"/>
              <w:rPr>
                <w:rFonts w:eastAsia="仿宋_GB2312" w:cs="Times New Roman"/>
                <w:szCs w:val="24"/>
              </w:rPr>
            </w:pPr>
            <w:r>
              <w:rPr>
                <w:rFonts w:eastAsia="仿宋_GB2312" w:cs="Times New Roman"/>
                <w:szCs w:val="24"/>
              </w:rPr>
              <w:t>存储第一类易制毒品、第一类精神药品；</w:t>
            </w:r>
          </w:p>
          <w:p w14:paraId="6B0AB2B4">
            <w:pPr>
              <w:pStyle w:val="8"/>
              <w:numPr>
                <w:ilvl w:val="0"/>
                <w:numId w:val="1"/>
              </w:numPr>
              <w:spacing w:line="240" w:lineRule="auto"/>
              <w:ind w:firstLineChars="0"/>
              <w:rPr>
                <w:rFonts w:eastAsia="仿宋_GB2312" w:cs="Times New Roman"/>
                <w:szCs w:val="24"/>
              </w:rPr>
            </w:pPr>
            <w:r>
              <w:rPr>
                <w:rFonts w:eastAsia="仿宋_GB2312" w:cs="Times New Roman"/>
                <w:szCs w:val="24"/>
              </w:rPr>
              <w:t>存储易燃易爆化学品总量大于50kg或50L；</w:t>
            </w:r>
          </w:p>
          <w:p w14:paraId="2D92F8A2">
            <w:pPr>
              <w:pStyle w:val="8"/>
              <w:numPr>
                <w:ilvl w:val="0"/>
                <w:numId w:val="1"/>
              </w:numPr>
              <w:spacing w:line="240" w:lineRule="auto"/>
              <w:ind w:firstLineChars="0"/>
              <w:rPr>
                <w:rFonts w:eastAsia="仿宋_GB2312" w:cs="Times New Roman"/>
                <w:szCs w:val="24"/>
              </w:rPr>
            </w:pPr>
            <w:r>
              <w:rPr>
                <w:rFonts w:eastAsia="仿宋_GB2312" w:cs="Times New Roman"/>
                <w:szCs w:val="24"/>
              </w:rPr>
              <w:t>存储有毒、易燃气体总量≥6瓶；</w:t>
            </w:r>
          </w:p>
          <w:p w14:paraId="34E3ED64">
            <w:pPr>
              <w:pStyle w:val="8"/>
              <w:numPr>
                <w:ilvl w:val="0"/>
                <w:numId w:val="1"/>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3</w:t>
            </w:r>
            <w:r>
              <w:rPr>
                <w:rFonts w:hint="eastAsia" w:eastAsia="仿宋_GB2312" w:cs="Times New Roman"/>
                <w:szCs w:val="24"/>
              </w:rPr>
              <w:t>、ABSL-3</w:t>
            </w:r>
            <w:r>
              <w:rPr>
                <w:rFonts w:eastAsia="仿宋_GB2312" w:cs="Times New Roman"/>
                <w:szCs w:val="24"/>
              </w:rPr>
              <w:t>、</w:t>
            </w:r>
            <w:r>
              <w:rPr>
                <w:rFonts w:hint="eastAsia" w:eastAsia="仿宋_GB2312" w:cs="Times New Roman"/>
                <w:szCs w:val="24"/>
              </w:rPr>
              <w:t>BSL-4、ABSL-</w:t>
            </w:r>
            <w:r>
              <w:rPr>
                <w:rFonts w:eastAsia="仿宋_GB2312" w:cs="Times New Roman"/>
                <w:szCs w:val="24"/>
              </w:rPr>
              <w:t>4实验室；</w:t>
            </w:r>
          </w:p>
          <w:p w14:paraId="1152C68B">
            <w:pPr>
              <w:pStyle w:val="8"/>
              <w:numPr>
                <w:ilvl w:val="0"/>
                <w:numId w:val="1"/>
              </w:numPr>
              <w:spacing w:line="240" w:lineRule="auto"/>
              <w:ind w:firstLineChars="0"/>
              <w:rPr>
                <w:rFonts w:eastAsia="仿宋_GB2312" w:cs="Times New Roman"/>
                <w:szCs w:val="24"/>
              </w:rPr>
            </w:pPr>
            <w:r>
              <w:rPr>
                <w:rFonts w:eastAsia="仿宋_GB2312" w:cs="Times New Roman"/>
                <w:szCs w:val="24"/>
              </w:rPr>
              <w:t>使用I、II类射线设备；</w:t>
            </w:r>
          </w:p>
          <w:p w14:paraId="3731C6AD">
            <w:pPr>
              <w:pStyle w:val="8"/>
              <w:numPr>
                <w:ilvl w:val="0"/>
                <w:numId w:val="1"/>
              </w:numPr>
              <w:spacing w:line="240" w:lineRule="auto"/>
              <w:ind w:firstLineChars="0"/>
              <w:rPr>
                <w:rFonts w:eastAsia="仿宋_GB2312" w:cs="Times New Roman"/>
                <w:szCs w:val="24"/>
              </w:rPr>
            </w:pPr>
            <w:r>
              <w:rPr>
                <w:rFonts w:eastAsia="仿宋_GB2312" w:cs="Times New Roman"/>
                <w:szCs w:val="24"/>
              </w:rPr>
              <w:t>使用放射性同位素、放射源、核材料；</w:t>
            </w:r>
          </w:p>
          <w:p w14:paraId="46B8CDE5">
            <w:pPr>
              <w:pStyle w:val="8"/>
              <w:numPr>
                <w:ilvl w:val="0"/>
                <w:numId w:val="1"/>
              </w:numPr>
              <w:spacing w:line="240" w:lineRule="auto"/>
              <w:ind w:firstLineChars="0"/>
              <w:rPr>
                <w:rFonts w:eastAsia="仿宋_GB2312" w:cs="Times New Roman"/>
                <w:szCs w:val="24"/>
              </w:rPr>
            </w:pPr>
            <w:r>
              <w:rPr>
                <w:rFonts w:eastAsia="仿宋_GB2312" w:cs="Times New Roman"/>
                <w:szCs w:val="24"/>
              </w:rPr>
              <w:t>使用机电类特种设备；</w:t>
            </w:r>
          </w:p>
          <w:p w14:paraId="79FF756E">
            <w:pPr>
              <w:pStyle w:val="8"/>
              <w:numPr>
                <w:ilvl w:val="0"/>
                <w:numId w:val="1"/>
              </w:numPr>
              <w:spacing w:line="240" w:lineRule="auto"/>
              <w:ind w:firstLineChars="0"/>
              <w:rPr>
                <w:rFonts w:eastAsia="仿宋_GB2312" w:cs="Times New Roman"/>
                <w:szCs w:val="24"/>
              </w:rPr>
            </w:pPr>
            <w:r>
              <w:rPr>
                <w:rFonts w:eastAsia="仿宋_GB2312" w:cs="Times New Roman"/>
                <w:szCs w:val="24"/>
              </w:rPr>
              <w:t>使用超高压</w:t>
            </w:r>
            <w:r>
              <w:rPr>
                <w:rFonts w:hint="eastAsia" w:eastAsia="仿宋_GB2312" w:cs="Times New Roman"/>
                <w:szCs w:val="24"/>
              </w:rPr>
              <w:t>等</w:t>
            </w:r>
            <w:r>
              <w:rPr>
                <w:rFonts w:eastAsia="仿宋_GB2312" w:cs="Times New Roman"/>
                <w:szCs w:val="24"/>
              </w:rPr>
              <w:t>第三类压力容器；</w:t>
            </w:r>
          </w:p>
          <w:p w14:paraId="55A56E8E">
            <w:pPr>
              <w:pStyle w:val="8"/>
              <w:numPr>
                <w:ilvl w:val="0"/>
                <w:numId w:val="1"/>
              </w:numPr>
              <w:spacing w:line="240" w:lineRule="auto"/>
              <w:ind w:firstLineChars="0"/>
              <w:rPr>
                <w:rFonts w:eastAsia="仿宋_GB2312" w:cs="Times New Roman"/>
                <w:szCs w:val="24"/>
              </w:rPr>
            </w:pPr>
            <w:r>
              <w:rPr>
                <w:rFonts w:eastAsia="仿宋_GB2312" w:cs="Times New Roman"/>
                <w:szCs w:val="24"/>
              </w:rPr>
              <w:t>使用强磁、强电设备；</w:t>
            </w:r>
          </w:p>
          <w:p w14:paraId="719F5995">
            <w:pPr>
              <w:pStyle w:val="8"/>
              <w:numPr>
                <w:ilvl w:val="0"/>
                <w:numId w:val="1"/>
              </w:numPr>
              <w:spacing w:line="240" w:lineRule="auto"/>
              <w:ind w:firstLineChars="0"/>
              <w:rPr>
                <w:rFonts w:eastAsia="仿宋_GB2312" w:cs="Times New Roman"/>
                <w:szCs w:val="24"/>
              </w:rPr>
            </w:pPr>
            <w:r>
              <w:rPr>
                <w:rFonts w:eastAsia="仿宋_GB2312" w:cs="Times New Roman"/>
                <w:szCs w:val="24"/>
              </w:rPr>
              <w:t>使用4、3R、3B类激光设备；</w:t>
            </w:r>
          </w:p>
          <w:p w14:paraId="55113C3A">
            <w:pPr>
              <w:pStyle w:val="8"/>
              <w:numPr>
                <w:ilvl w:val="0"/>
                <w:numId w:val="1"/>
              </w:numPr>
              <w:spacing w:line="240" w:lineRule="auto"/>
              <w:ind w:firstLineChars="0"/>
              <w:rPr>
                <w:rFonts w:eastAsia="仿宋_GB2312" w:cs="Times New Roman"/>
                <w:szCs w:val="24"/>
              </w:rPr>
            </w:pPr>
            <w:r>
              <w:rPr>
                <w:rFonts w:eastAsia="仿宋_GB2312" w:cs="Times New Roman"/>
                <w:szCs w:val="24"/>
              </w:rPr>
              <w:t>使用富氧涉爆</w:t>
            </w:r>
            <w:r>
              <w:rPr>
                <w:rFonts w:hint="eastAsia" w:eastAsia="仿宋_GB2312" w:cs="Times New Roman"/>
                <w:szCs w:val="24"/>
              </w:rPr>
              <w:t>实验室自制设备</w:t>
            </w:r>
            <w:r>
              <w:rPr>
                <w:rFonts w:eastAsia="仿宋_GB2312" w:cs="Times New Roman"/>
                <w:szCs w:val="24"/>
              </w:rPr>
              <w:t>；</w:t>
            </w:r>
          </w:p>
          <w:p w14:paraId="6104AB17">
            <w:pPr>
              <w:pStyle w:val="8"/>
              <w:numPr>
                <w:ilvl w:val="0"/>
                <w:numId w:val="1"/>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320D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556" w:type="dxa"/>
            <w:vMerge w:val="continue"/>
          </w:tcPr>
          <w:p w14:paraId="31569D2F">
            <w:pPr>
              <w:spacing w:line="240" w:lineRule="auto"/>
              <w:ind w:firstLine="0" w:firstLineChars="0"/>
              <w:rPr>
                <w:rFonts w:eastAsia="仿宋_GB2312" w:cs="Times New Roman"/>
                <w:szCs w:val="24"/>
              </w:rPr>
            </w:pPr>
          </w:p>
        </w:tc>
        <w:tc>
          <w:tcPr>
            <w:tcW w:w="7253" w:type="dxa"/>
          </w:tcPr>
          <w:p w14:paraId="3EB66843">
            <w:pPr>
              <w:spacing w:line="240" w:lineRule="auto"/>
              <w:ind w:firstLine="0" w:firstLineChars="0"/>
              <w:rPr>
                <w:rFonts w:eastAsia="仿宋_GB2312" w:cs="Times New Roman"/>
                <w:szCs w:val="24"/>
              </w:rPr>
            </w:pPr>
            <w:r>
              <w:rPr>
                <w:rFonts w:eastAsia="仿宋_GB2312" w:cs="Times New Roman"/>
                <w:szCs w:val="24"/>
              </w:rPr>
              <w:t>按照《高校实验室安全风险评价表》评分达到100分的实验室</w:t>
            </w:r>
          </w:p>
        </w:tc>
      </w:tr>
      <w:tr w14:paraId="3D50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vAlign w:val="center"/>
          </w:tcPr>
          <w:p w14:paraId="78336301">
            <w:pPr>
              <w:spacing w:line="240" w:lineRule="auto"/>
              <w:ind w:firstLine="0" w:firstLineChars="0"/>
              <w:jc w:val="center"/>
              <w:rPr>
                <w:rFonts w:eastAsia="仿宋_GB2312" w:cs="Times New Roman"/>
                <w:szCs w:val="24"/>
              </w:rPr>
            </w:pPr>
            <w:r>
              <w:rPr>
                <w:rFonts w:eastAsia="仿宋_GB2312" w:cs="Times New Roman"/>
                <w:szCs w:val="24"/>
              </w:rPr>
              <w:t>Ⅱ级</w:t>
            </w:r>
            <w:r>
              <w:rPr>
                <w:rFonts w:hint="eastAsia" w:eastAsia="仿宋_GB2312" w:cs="Times New Roman"/>
                <w:szCs w:val="24"/>
              </w:rPr>
              <w:t>/橙色级</w:t>
            </w:r>
            <w:r>
              <w:rPr>
                <w:rFonts w:eastAsia="仿宋_GB2312" w:cs="Times New Roman"/>
                <w:szCs w:val="24"/>
              </w:rPr>
              <w:t>实验室</w:t>
            </w:r>
            <w:r>
              <w:rPr>
                <w:rFonts w:hint="eastAsia" w:eastAsia="仿宋_GB2312" w:cs="Times New Roman"/>
                <w:szCs w:val="24"/>
              </w:rPr>
              <w:t>（高风险实验室）</w:t>
            </w:r>
          </w:p>
        </w:tc>
        <w:tc>
          <w:tcPr>
            <w:tcW w:w="7253" w:type="dxa"/>
          </w:tcPr>
          <w:p w14:paraId="449A6E01">
            <w:pPr>
              <w:spacing w:line="240" w:lineRule="auto"/>
              <w:ind w:firstLine="0" w:firstLineChars="0"/>
              <w:rPr>
                <w:rFonts w:eastAsia="仿宋_GB2312" w:cs="Times New Roman"/>
                <w:szCs w:val="24"/>
              </w:rPr>
            </w:pPr>
            <w:r>
              <w:rPr>
                <w:rFonts w:eastAsia="仿宋_GB2312" w:cs="Times New Roman"/>
                <w:szCs w:val="24"/>
              </w:rPr>
              <w:t>实验室有以下情况之一的：</w:t>
            </w:r>
          </w:p>
          <w:p w14:paraId="16C029D9">
            <w:pPr>
              <w:pStyle w:val="8"/>
              <w:numPr>
                <w:ilvl w:val="0"/>
                <w:numId w:val="2"/>
              </w:numPr>
              <w:spacing w:line="240" w:lineRule="auto"/>
              <w:ind w:firstLineChars="0"/>
              <w:rPr>
                <w:rFonts w:eastAsia="仿宋_GB2312" w:cs="Times New Roman"/>
                <w:szCs w:val="24"/>
              </w:rPr>
            </w:pPr>
            <w:r>
              <w:rPr>
                <w:rFonts w:eastAsia="仿宋_GB2312" w:cs="Times New Roman"/>
                <w:szCs w:val="24"/>
              </w:rPr>
              <w:t>存储第二类精神药品；</w:t>
            </w:r>
          </w:p>
          <w:p w14:paraId="47EB8820">
            <w:pPr>
              <w:pStyle w:val="8"/>
              <w:numPr>
                <w:ilvl w:val="0"/>
                <w:numId w:val="2"/>
              </w:numPr>
              <w:spacing w:line="240" w:lineRule="auto"/>
              <w:ind w:firstLineChars="0"/>
              <w:rPr>
                <w:rFonts w:eastAsia="仿宋_GB2312" w:cs="Times New Roman"/>
                <w:szCs w:val="24"/>
              </w:rPr>
            </w:pPr>
            <w:r>
              <w:rPr>
                <w:rFonts w:eastAsia="仿宋_GB2312" w:cs="Times New Roman"/>
                <w:szCs w:val="24"/>
              </w:rPr>
              <w:t>存储易燃易爆化学品总量为20~50kg或20~50L；</w:t>
            </w:r>
          </w:p>
          <w:p w14:paraId="7779469F">
            <w:pPr>
              <w:pStyle w:val="8"/>
              <w:numPr>
                <w:ilvl w:val="0"/>
                <w:numId w:val="2"/>
              </w:numPr>
              <w:spacing w:line="240" w:lineRule="auto"/>
              <w:ind w:firstLineChars="0"/>
              <w:rPr>
                <w:rFonts w:eastAsia="仿宋_GB2312" w:cs="Times New Roman"/>
                <w:szCs w:val="24"/>
              </w:rPr>
            </w:pPr>
            <w:r>
              <w:rPr>
                <w:rFonts w:eastAsia="仿宋_GB2312" w:cs="Times New Roman"/>
                <w:szCs w:val="24"/>
              </w:rPr>
              <w:t>存储有毒、易燃气体总量为3~6（不含）瓶；</w:t>
            </w:r>
          </w:p>
          <w:p w14:paraId="009CBF77">
            <w:pPr>
              <w:pStyle w:val="8"/>
              <w:numPr>
                <w:ilvl w:val="0"/>
                <w:numId w:val="2"/>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2</w:t>
            </w:r>
            <w:r>
              <w:rPr>
                <w:rFonts w:hint="eastAsia" w:eastAsia="仿宋_GB2312" w:cs="Times New Roman"/>
                <w:szCs w:val="24"/>
              </w:rPr>
              <w:t>、ABSL-2</w:t>
            </w:r>
            <w:r>
              <w:rPr>
                <w:rFonts w:eastAsia="仿宋_GB2312" w:cs="Times New Roman"/>
                <w:szCs w:val="24"/>
              </w:rPr>
              <w:t>实验室；</w:t>
            </w:r>
          </w:p>
          <w:p w14:paraId="31D4CD30">
            <w:pPr>
              <w:pStyle w:val="8"/>
              <w:numPr>
                <w:ilvl w:val="0"/>
                <w:numId w:val="2"/>
              </w:numPr>
              <w:spacing w:line="240" w:lineRule="auto"/>
              <w:ind w:firstLineChars="0"/>
              <w:rPr>
                <w:rFonts w:eastAsia="仿宋_GB2312" w:cs="Times New Roman"/>
                <w:szCs w:val="24"/>
              </w:rPr>
            </w:pPr>
            <w:r>
              <w:rPr>
                <w:rFonts w:eastAsia="仿宋_GB2312" w:cs="Times New Roman"/>
                <w:szCs w:val="24"/>
              </w:rPr>
              <w:t>使用第一类、第二类压力容器；</w:t>
            </w:r>
          </w:p>
          <w:p w14:paraId="5945A30E">
            <w:pPr>
              <w:pStyle w:val="8"/>
              <w:numPr>
                <w:ilvl w:val="0"/>
                <w:numId w:val="2"/>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5F43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14:paraId="63600827">
            <w:pPr>
              <w:spacing w:line="240" w:lineRule="auto"/>
              <w:ind w:firstLine="0" w:firstLineChars="0"/>
              <w:rPr>
                <w:rFonts w:eastAsia="仿宋_GB2312" w:cs="Times New Roman"/>
                <w:szCs w:val="24"/>
              </w:rPr>
            </w:pPr>
          </w:p>
        </w:tc>
        <w:tc>
          <w:tcPr>
            <w:tcW w:w="7253" w:type="dxa"/>
          </w:tcPr>
          <w:p w14:paraId="03885237">
            <w:pPr>
              <w:spacing w:line="240" w:lineRule="auto"/>
              <w:ind w:firstLine="0" w:firstLineChars="0"/>
              <w:rPr>
                <w:rFonts w:eastAsia="仿宋_GB2312" w:cs="Times New Roman"/>
                <w:szCs w:val="24"/>
              </w:rPr>
            </w:pPr>
            <w:r>
              <w:rPr>
                <w:rFonts w:eastAsia="仿宋_GB2312" w:cs="Times New Roman"/>
                <w:szCs w:val="24"/>
              </w:rPr>
              <w:t>按照《高校实验室安全风险评价表》评分在[75, 100)范围的实验室</w:t>
            </w:r>
          </w:p>
        </w:tc>
      </w:tr>
      <w:tr w14:paraId="74E2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556" w:type="dxa"/>
            <w:vMerge w:val="restart"/>
            <w:vAlign w:val="center"/>
          </w:tcPr>
          <w:p w14:paraId="7392763F">
            <w:pPr>
              <w:spacing w:line="240" w:lineRule="auto"/>
              <w:ind w:firstLine="0" w:firstLineChars="0"/>
              <w:jc w:val="center"/>
              <w:rPr>
                <w:rFonts w:eastAsia="仿宋_GB2312" w:cs="Times New Roman"/>
                <w:szCs w:val="24"/>
              </w:rPr>
            </w:pPr>
            <w:r>
              <w:rPr>
                <w:rFonts w:eastAsia="仿宋_GB2312" w:cs="Times New Roman"/>
                <w:szCs w:val="24"/>
              </w:rPr>
              <w:t>Ⅲ级</w:t>
            </w:r>
            <w:r>
              <w:rPr>
                <w:rFonts w:hint="eastAsia" w:eastAsia="仿宋_GB2312" w:cs="Times New Roman"/>
                <w:szCs w:val="24"/>
              </w:rPr>
              <w:t>/黄色级</w:t>
            </w:r>
            <w:r>
              <w:rPr>
                <w:rFonts w:eastAsia="仿宋_GB2312" w:cs="Times New Roman"/>
                <w:szCs w:val="24"/>
              </w:rPr>
              <w:t>实验室</w:t>
            </w:r>
            <w:r>
              <w:rPr>
                <w:rFonts w:hint="eastAsia" w:eastAsia="仿宋_GB2312" w:cs="Times New Roman"/>
                <w:szCs w:val="24"/>
              </w:rPr>
              <w:t>（中风险实验室）</w:t>
            </w:r>
          </w:p>
        </w:tc>
        <w:tc>
          <w:tcPr>
            <w:tcW w:w="7253" w:type="dxa"/>
          </w:tcPr>
          <w:p w14:paraId="6CB4BF44">
            <w:pPr>
              <w:spacing w:line="240" w:lineRule="auto"/>
              <w:ind w:firstLine="0" w:firstLineChars="0"/>
              <w:rPr>
                <w:rFonts w:eastAsia="仿宋_GB2312" w:cs="Times New Roman"/>
                <w:szCs w:val="24"/>
              </w:rPr>
            </w:pPr>
            <w:r>
              <w:rPr>
                <w:rFonts w:eastAsia="仿宋_GB2312" w:cs="Times New Roman"/>
                <w:szCs w:val="24"/>
              </w:rPr>
              <w:t>实验室有以下情况之一的：</w:t>
            </w:r>
          </w:p>
          <w:p w14:paraId="30DC35CF">
            <w:pPr>
              <w:pStyle w:val="8"/>
              <w:numPr>
                <w:ilvl w:val="0"/>
                <w:numId w:val="3"/>
              </w:numPr>
              <w:spacing w:line="240" w:lineRule="auto"/>
              <w:ind w:firstLineChars="0"/>
              <w:rPr>
                <w:rFonts w:eastAsia="仿宋_GB2312" w:cs="Times New Roman"/>
                <w:szCs w:val="24"/>
              </w:rPr>
            </w:pPr>
            <w:r>
              <w:rPr>
                <w:rFonts w:eastAsia="仿宋_GB2312" w:cs="Times New Roman"/>
                <w:szCs w:val="24"/>
              </w:rPr>
              <w:t>存储第二/三类易制毒品；</w:t>
            </w:r>
          </w:p>
          <w:p w14:paraId="59E59494">
            <w:pPr>
              <w:pStyle w:val="8"/>
              <w:numPr>
                <w:ilvl w:val="0"/>
                <w:numId w:val="3"/>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1</w:t>
            </w:r>
            <w:r>
              <w:rPr>
                <w:rFonts w:hint="eastAsia" w:eastAsia="仿宋_GB2312" w:cs="Times New Roman"/>
                <w:szCs w:val="24"/>
              </w:rPr>
              <w:t>、ABSL-1</w:t>
            </w:r>
            <w:r>
              <w:rPr>
                <w:rFonts w:eastAsia="仿宋_GB2312" w:cs="Times New Roman"/>
                <w:szCs w:val="24"/>
              </w:rPr>
              <w:t>实验室；</w:t>
            </w:r>
          </w:p>
          <w:p w14:paraId="6E4AE35C">
            <w:pPr>
              <w:pStyle w:val="8"/>
              <w:numPr>
                <w:ilvl w:val="0"/>
                <w:numId w:val="3"/>
              </w:numPr>
              <w:spacing w:line="240" w:lineRule="auto"/>
              <w:ind w:firstLineChars="0"/>
              <w:rPr>
                <w:rFonts w:eastAsia="仿宋_GB2312" w:cs="Times New Roman"/>
                <w:szCs w:val="24"/>
              </w:rPr>
            </w:pPr>
            <w:r>
              <w:rPr>
                <w:rFonts w:eastAsia="仿宋_GB2312" w:cs="Times New Roman"/>
                <w:szCs w:val="24"/>
              </w:rPr>
              <w:t>基础设备老化；</w:t>
            </w:r>
          </w:p>
          <w:p w14:paraId="10FEC090">
            <w:pPr>
              <w:pStyle w:val="8"/>
              <w:numPr>
                <w:ilvl w:val="0"/>
                <w:numId w:val="3"/>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7996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14:paraId="53118B50">
            <w:pPr>
              <w:spacing w:line="240" w:lineRule="auto"/>
              <w:ind w:firstLine="0" w:firstLineChars="0"/>
              <w:rPr>
                <w:rFonts w:eastAsia="仿宋_GB2312" w:cs="Times New Roman"/>
                <w:szCs w:val="24"/>
              </w:rPr>
            </w:pPr>
          </w:p>
        </w:tc>
        <w:tc>
          <w:tcPr>
            <w:tcW w:w="7253" w:type="dxa"/>
          </w:tcPr>
          <w:p w14:paraId="76CC5A91">
            <w:pPr>
              <w:spacing w:line="240" w:lineRule="auto"/>
              <w:ind w:firstLine="0" w:firstLineChars="0"/>
              <w:rPr>
                <w:rFonts w:eastAsia="仿宋_GB2312" w:cs="Times New Roman"/>
                <w:szCs w:val="24"/>
              </w:rPr>
            </w:pPr>
            <w:r>
              <w:rPr>
                <w:rFonts w:eastAsia="仿宋_GB2312" w:cs="Times New Roman"/>
                <w:szCs w:val="24"/>
              </w:rPr>
              <w:t>按照《高校实验室安全风险评价表》评分在[25, 75)范围的实验室</w:t>
            </w:r>
          </w:p>
        </w:tc>
      </w:tr>
      <w:tr w14:paraId="4FD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vAlign w:val="center"/>
          </w:tcPr>
          <w:p w14:paraId="39214D96">
            <w:pPr>
              <w:spacing w:line="240" w:lineRule="auto"/>
              <w:ind w:firstLine="0" w:firstLineChars="0"/>
              <w:jc w:val="center"/>
              <w:rPr>
                <w:rFonts w:eastAsia="仿宋_GB2312" w:cs="Times New Roman"/>
                <w:szCs w:val="24"/>
              </w:rPr>
            </w:pPr>
            <w:r>
              <w:rPr>
                <w:rFonts w:eastAsia="仿宋_GB2312" w:cs="Times New Roman"/>
                <w:szCs w:val="24"/>
              </w:rPr>
              <w:t>Ⅳ级</w:t>
            </w:r>
            <w:r>
              <w:rPr>
                <w:rFonts w:hint="eastAsia" w:eastAsia="仿宋_GB2312" w:cs="Times New Roman"/>
                <w:szCs w:val="24"/>
              </w:rPr>
              <w:t>/蓝色级</w:t>
            </w:r>
            <w:r>
              <w:rPr>
                <w:rFonts w:eastAsia="仿宋_GB2312" w:cs="Times New Roman"/>
                <w:szCs w:val="24"/>
              </w:rPr>
              <w:t>实验室</w:t>
            </w:r>
            <w:r>
              <w:rPr>
                <w:rFonts w:hint="eastAsia" w:eastAsia="仿宋_GB2312" w:cs="Times New Roman"/>
                <w:szCs w:val="24"/>
              </w:rPr>
              <w:t>（低风险实验室）</w:t>
            </w:r>
          </w:p>
        </w:tc>
        <w:tc>
          <w:tcPr>
            <w:tcW w:w="7253" w:type="dxa"/>
          </w:tcPr>
          <w:p w14:paraId="1F264738">
            <w:pPr>
              <w:pStyle w:val="8"/>
              <w:spacing w:line="240" w:lineRule="auto"/>
              <w:ind w:firstLine="0" w:firstLineChars="0"/>
              <w:rPr>
                <w:rFonts w:eastAsia="仿宋_GB2312" w:cs="Times New Roman"/>
                <w:szCs w:val="24"/>
              </w:rPr>
            </w:pPr>
            <w:r>
              <w:rPr>
                <w:rFonts w:eastAsia="仿宋_GB2312" w:cs="Times New Roman"/>
                <w:szCs w:val="24"/>
              </w:rPr>
              <w:t>实验室有以下情况之一的：</w:t>
            </w:r>
          </w:p>
          <w:p w14:paraId="63460B39">
            <w:pPr>
              <w:pStyle w:val="8"/>
              <w:numPr>
                <w:ilvl w:val="0"/>
                <w:numId w:val="4"/>
              </w:numPr>
              <w:spacing w:line="240" w:lineRule="auto"/>
              <w:ind w:firstLineChars="0"/>
              <w:rPr>
                <w:rFonts w:eastAsia="仿宋_GB2312" w:cs="Times New Roman"/>
                <w:szCs w:val="24"/>
              </w:rPr>
            </w:pPr>
            <w:r>
              <w:rPr>
                <w:rFonts w:eastAsia="仿宋_GB2312" w:cs="Times New Roman"/>
                <w:szCs w:val="24"/>
              </w:rPr>
              <w:t>不涉及重要危险源的实验室；</w:t>
            </w:r>
          </w:p>
          <w:p w14:paraId="230B7E6A">
            <w:pPr>
              <w:pStyle w:val="8"/>
              <w:numPr>
                <w:ilvl w:val="0"/>
                <w:numId w:val="4"/>
              </w:numPr>
              <w:spacing w:line="240" w:lineRule="auto"/>
              <w:ind w:firstLineChars="0"/>
              <w:rPr>
                <w:rFonts w:eastAsia="仿宋_GB2312" w:cs="Times New Roman"/>
                <w:szCs w:val="24"/>
              </w:rPr>
            </w:pPr>
            <w:r>
              <w:rPr>
                <w:rFonts w:eastAsia="仿宋_GB2312" w:cs="Times New Roman"/>
                <w:szCs w:val="24"/>
              </w:rPr>
              <w:t>主要涉及一般性消防安全、用电安全的实验室；</w:t>
            </w:r>
          </w:p>
          <w:p w14:paraId="15978B12">
            <w:pPr>
              <w:pStyle w:val="8"/>
              <w:numPr>
                <w:ilvl w:val="0"/>
                <w:numId w:val="4"/>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5E90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14:paraId="2EFC44F9">
            <w:pPr>
              <w:spacing w:line="240" w:lineRule="auto"/>
              <w:ind w:firstLine="0" w:firstLineChars="0"/>
              <w:rPr>
                <w:rFonts w:eastAsia="仿宋_GB2312" w:cs="Times New Roman"/>
                <w:szCs w:val="24"/>
              </w:rPr>
            </w:pPr>
          </w:p>
        </w:tc>
        <w:tc>
          <w:tcPr>
            <w:tcW w:w="7253" w:type="dxa"/>
          </w:tcPr>
          <w:p w14:paraId="062E09AB">
            <w:pPr>
              <w:spacing w:line="240" w:lineRule="auto"/>
              <w:ind w:firstLine="0" w:firstLineChars="0"/>
              <w:rPr>
                <w:rFonts w:eastAsia="仿宋_GB2312" w:cs="Times New Roman"/>
                <w:szCs w:val="24"/>
              </w:rPr>
            </w:pPr>
            <w:r>
              <w:rPr>
                <w:rFonts w:eastAsia="仿宋_GB2312" w:cs="Times New Roman"/>
                <w:szCs w:val="24"/>
              </w:rPr>
              <w:t>按照《高校实验室安全风险评价表》评分在[0, 25)范围的实验室</w:t>
            </w:r>
          </w:p>
        </w:tc>
      </w:tr>
    </w:tbl>
    <w:p w14:paraId="3ABD216D">
      <w:pPr>
        <w:spacing w:line="240" w:lineRule="auto"/>
        <w:ind w:firstLine="0" w:firstLineChars="0"/>
        <w:rPr>
          <w:rFonts w:eastAsia="仿宋_GB2312" w:cs="Times New Roman"/>
        </w:rPr>
      </w:pPr>
      <w:r>
        <w:rPr>
          <w:rFonts w:hint="eastAsia" w:eastAsia="仿宋_GB2312" w:cs="Times New Roman"/>
        </w:rPr>
        <w:t>注：</w:t>
      </w:r>
    </w:p>
    <w:p w14:paraId="1414B658">
      <w:pPr>
        <w:spacing w:line="240" w:lineRule="auto"/>
        <w:ind w:firstLine="480"/>
        <w:rPr>
          <w:rFonts w:eastAsia="仿宋_GB2312" w:cs="Times New Roman"/>
        </w:rPr>
      </w:pPr>
      <w:r>
        <w:rPr>
          <w:rFonts w:hint="eastAsia" w:eastAsia="仿宋_GB2312" w:cs="Times New Roman"/>
        </w:rPr>
        <w:t>1.实验室分级先按表中各级实验室所对应的参考情况划分，无所列情况的，按《高校实验室安全风险评价表》进行累计评分确定等级。</w:t>
      </w:r>
    </w:p>
    <w:p w14:paraId="6B5E2B6B">
      <w:pPr>
        <w:spacing w:line="240" w:lineRule="auto"/>
        <w:ind w:firstLine="480"/>
        <w:rPr>
          <w:rFonts w:eastAsia="仿宋_GB2312" w:cs="Times New Roman"/>
        </w:rPr>
      </w:pPr>
      <w:r>
        <w:rPr>
          <w:rFonts w:hint="eastAsia" w:eastAsia="仿宋_GB2312" w:cs="Times New Roman"/>
        </w:rPr>
        <w:t>2.对于既有本表所列参考情况，又有《高校实验室安全风险评价表》所列危险源的，取两者较高者所对应的实验室等级。</w:t>
      </w:r>
    </w:p>
    <w:p w14:paraId="336F29E6">
      <w:pPr>
        <w:spacing w:line="240" w:lineRule="auto"/>
        <w:ind w:firstLine="480"/>
        <w:rPr>
          <w:rFonts w:eastAsia="仿宋_GB2312" w:cs="Times New Roman"/>
        </w:rPr>
      </w:pPr>
    </w:p>
    <w:p w14:paraId="68A82BEE">
      <w:pPr>
        <w:spacing w:line="560" w:lineRule="exact"/>
        <w:ind w:firstLine="0" w:firstLineChars="0"/>
        <w:rPr>
          <w:rFonts w:ascii="黑体" w:hAnsi="黑体" w:eastAsia="黑体" w:cs="黑体"/>
          <w:sz w:val="32"/>
          <w:szCs w:val="32"/>
        </w:rPr>
      </w:pPr>
    </w:p>
    <w:p w14:paraId="379CC73C">
      <w:pPr>
        <w:spacing w:line="560" w:lineRule="exact"/>
        <w:ind w:firstLine="0" w:firstLineChars="0"/>
        <w:rPr>
          <w:rFonts w:ascii="黑体" w:hAnsi="黑体" w:eastAsia="黑体" w:cs="黑体"/>
          <w:sz w:val="32"/>
          <w:szCs w:val="32"/>
        </w:rPr>
        <w:sectPr>
          <w:pgSz w:w="11900" w:h="16840"/>
          <w:pgMar w:top="2098" w:right="1474" w:bottom="1985" w:left="1588" w:header="737" w:footer="1531" w:gutter="0"/>
          <w:pgNumType w:fmt="decimal"/>
          <w:cols w:space="425" w:num="1"/>
          <w:docGrid w:type="linesAndChars" w:linePitch="423" w:charSpace="0"/>
        </w:sectPr>
      </w:pPr>
    </w:p>
    <w:p w14:paraId="218C9EDA">
      <w:pPr>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2</w:t>
      </w:r>
    </w:p>
    <w:p w14:paraId="46877D13">
      <w:pPr>
        <w:spacing w:after="423" w:afterLines="100" w:line="560" w:lineRule="exact"/>
        <w:ind w:firstLine="0" w:firstLineChars="0"/>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高校实验室安全风险评价表</w:t>
      </w:r>
    </w:p>
    <w:tbl>
      <w:tblPr>
        <w:tblStyle w:val="5"/>
        <w:tblW w:w="89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7478"/>
      </w:tblGrid>
      <w:tr w14:paraId="5099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trPr>
        <w:tc>
          <w:tcPr>
            <w:tcW w:w="1481" w:type="dxa"/>
          </w:tcPr>
          <w:p w14:paraId="03537D0F">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每项计分</w:t>
            </w:r>
          </w:p>
        </w:tc>
        <w:tc>
          <w:tcPr>
            <w:tcW w:w="7478" w:type="dxa"/>
          </w:tcPr>
          <w:p w14:paraId="17E0CE3B">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风险源</w:t>
            </w:r>
          </w:p>
        </w:tc>
      </w:tr>
      <w:tr w14:paraId="1947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1" w:type="dxa"/>
            <w:vAlign w:val="center"/>
          </w:tcPr>
          <w:p w14:paraId="1E89CF50">
            <w:pPr>
              <w:spacing w:line="240" w:lineRule="auto"/>
              <w:ind w:firstLine="0" w:firstLineChars="0"/>
              <w:jc w:val="center"/>
              <w:rPr>
                <w:rFonts w:eastAsia="仿宋_GB2312" w:cs="Times New Roman"/>
                <w:szCs w:val="24"/>
              </w:rPr>
            </w:pPr>
            <w:r>
              <w:rPr>
                <w:rFonts w:eastAsia="仿宋_GB2312" w:cs="Times New Roman"/>
                <w:szCs w:val="24"/>
              </w:rPr>
              <w:t>25分</w:t>
            </w:r>
          </w:p>
          <w:p w14:paraId="6914B3FA">
            <w:pPr>
              <w:spacing w:line="240" w:lineRule="auto"/>
              <w:ind w:firstLine="0" w:firstLineChars="0"/>
              <w:jc w:val="center"/>
              <w:rPr>
                <w:rFonts w:eastAsia="仿宋_GB2312" w:cs="Times New Roman"/>
                <w:szCs w:val="24"/>
              </w:rPr>
            </w:pPr>
          </w:p>
        </w:tc>
        <w:tc>
          <w:tcPr>
            <w:tcW w:w="7478" w:type="dxa"/>
          </w:tcPr>
          <w:p w14:paraId="435D3D42">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存储易燃易爆化学品总量在5~20kg或5~20L；</w:t>
            </w:r>
          </w:p>
          <w:p w14:paraId="2550F3BF">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存储一般危化品总量50~100kg或50~100L；</w:t>
            </w:r>
          </w:p>
          <w:p w14:paraId="446A5B7E">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存储有毒、易燃气体总量为2瓶；</w:t>
            </w:r>
          </w:p>
          <w:p w14:paraId="2E88A0CD">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使用III类射线设备的数量≥2台；</w:t>
            </w:r>
          </w:p>
          <w:p w14:paraId="4ED07A5B">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使用简单压力容器的数量≥3台；</w:t>
            </w:r>
          </w:p>
          <w:p w14:paraId="2CCBBA60">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实验室使用危险机加工装置的数量≥3台；</w:t>
            </w:r>
          </w:p>
          <w:p w14:paraId="0B93B513">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实验室使用加热设备数量≥6台；</w:t>
            </w:r>
          </w:p>
          <w:p w14:paraId="319A582E">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实验室每月危险废物产生量≥100 L或kg；</w:t>
            </w:r>
          </w:p>
          <w:p w14:paraId="445FD42E">
            <w:pPr>
              <w:pStyle w:val="8"/>
              <w:numPr>
                <w:ilvl w:val="0"/>
                <w:numId w:val="5"/>
              </w:numPr>
              <w:spacing w:line="240" w:lineRule="auto"/>
              <w:ind w:firstLine="0" w:firstLineChars="0"/>
              <w:rPr>
                <w:rFonts w:eastAsia="仿宋_GB2312" w:cs="Times New Roman"/>
                <w:szCs w:val="24"/>
              </w:rPr>
            </w:pPr>
            <w:r>
              <w:rPr>
                <w:rFonts w:hint="eastAsia" w:eastAsia="仿宋_GB2312" w:cs="Times New Roman"/>
                <w:szCs w:val="24"/>
                <w:lang w:val="en-US" w:eastAsia="zh-CN"/>
              </w:rPr>
              <w:t xml:space="preserve"> </w:t>
            </w: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7FA9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1" w:type="dxa"/>
            <w:vAlign w:val="center"/>
          </w:tcPr>
          <w:p w14:paraId="74B9BA1D">
            <w:pPr>
              <w:spacing w:line="240" w:lineRule="auto"/>
              <w:ind w:firstLine="0" w:firstLineChars="0"/>
              <w:jc w:val="center"/>
              <w:rPr>
                <w:rFonts w:eastAsia="仿宋_GB2312" w:cs="Times New Roman"/>
                <w:szCs w:val="24"/>
              </w:rPr>
            </w:pPr>
            <w:r>
              <w:rPr>
                <w:rFonts w:eastAsia="仿宋_GB2312" w:cs="Times New Roman"/>
                <w:szCs w:val="24"/>
              </w:rPr>
              <w:t>10分</w:t>
            </w:r>
          </w:p>
        </w:tc>
        <w:tc>
          <w:tcPr>
            <w:tcW w:w="7478" w:type="dxa"/>
          </w:tcPr>
          <w:p w14:paraId="34642920">
            <w:pPr>
              <w:pStyle w:val="8"/>
              <w:numPr>
                <w:ilvl w:val="0"/>
                <w:numId w:val="6"/>
              </w:numPr>
              <w:spacing w:line="240" w:lineRule="auto"/>
              <w:ind w:firstLineChars="0"/>
              <w:rPr>
                <w:rFonts w:eastAsia="仿宋_GB2312" w:cs="Times New Roman"/>
                <w:szCs w:val="24"/>
              </w:rPr>
            </w:pPr>
            <w:r>
              <w:rPr>
                <w:rFonts w:eastAsia="仿宋_GB2312" w:cs="Times New Roman"/>
                <w:szCs w:val="24"/>
              </w:rPr>
              <w:t>使用超过人体安全电压（36V）的实验；</w:t>
            </w:r>
          </w:p>
          <w:p w14:paraId="6BCD3360">
            <w:pPr>
              <w:pStyle w:val="8"/>
              <w:numPr>
                <w:ilvl w:val="0"/>
                <w:numId w:val="6"/>
              </w:numPr>
              <w:spacing w:line="240" w:lineRule="auto"/>
              <w:ind w:firstLineChars="0"/>
              <w:rPr>
                <w:rFonts w:eastAsia="仿宋_GB2312" w:cs="Times New Roman"/>
                <w:szCs w:val="24"/>
              </w:rPr>
            </w:pPr>
            <w:r>
              <w:rPr>
                <w:rFonts w:eastAsia="仿宋_GB2312" w:cs="Times New Roman"/>
                <w:szCs w:val="24"/>
              </w:rPr>
              <w:t>涉及合成放热实验；</w:t>
            </w:r>
          </w:p>
          <w:p w14:paraId="0FA12724">
            <w:pPr>
              <w:pStyle w:val="8"/>
              <w:numPr>
                <w:ilvl w:val="0"/>
                <w:numId w:val="6"/>
              </w:numPr>
              <w:spacing w:line="240" w:lineRule="auto"/>
              <w:ind w:firstLineChars="0"/>
              <w:rPr>
                <w:rFonts w:eastAsia="仿宋_GB2312" w:cs="Times New Roman"/>
                <w:szCs w:val="24"/>
              </w:rPr>
            </w:pPr>
            <w:r>
              <w:rPr>
                <w:rFonts w:eastAsia="仿宋_GB2312" w:cs="Times New Roman"/>
                <w:szCs w:val="24"/>
              </w:rPr>
              <w:t>涉及压力实验；</w:t>
            </w:r>
          </w:p>
          <w:p w14:paraId="1981F9AD">
            <w:pPr>
              <w:pStyle w:val="8"/>
              <w:numPr>
                <w:ilvl w:val="0"/>
                <w:numId w:val="6"/>
              </w:numPr>
              <w:spacing w:line="240" w:lineRule="auto"/>
              <w:ind w:firstLineChars="0"/>
              <w:rPr>
                <w:rFonts w:eastAsia="仿宋_GB2312" w:cs="Times New Roman"/>
                <w:szCs w:val="24"/>
              </w:rPr>
            </w:pPr>
            <w:r>
              <w:rPr>
                <w:rFonts w:eastAsia="仿宋_GB2312" w:cs="Times New Roman"/>
                <w:szCs w:val="24"/>
              </w:rPr>
              <w:t>产生易燃气体的实验；</w:t>
            </w:r>
          </w:p>
          <w:p w14:paraId="6EE29D04">
            <w:pPr>
              <w:pStyle w:val="8"/>
              <w:numPr>
                <w:ilvl w:val="0"/>
                <w:numId w:val="6"/>
              </w:numPr>
              <w:spacing w:line="240" w:lineRule="auto"/>
              <w:ind w:firstLineChars="0"/>
              <w:rPr>
                <w:rFonts w:eastAsia="仿宋_GB2312" w:cs="Times New Roman"/>
                <w:szCs w:val="24"/>
              </w:rPr>
            </w:pPr>
            <w:r>
              <w:rPr>
                <w:rFonts w:eastAsia="仿宋_GB2312" w:cs="Times New Roman"/>
                <w:szCs w:val="24"/>
              </w:rPr>
              <w:t>涉及持续加热实验；</w:t>
            </w:r>
          </w:p>
          <w:p w14:paraId="7967B043">
            <w:pPr>
              <w:pStyle w:val="8"/>
              <w:numPr>
                <w:ilvl w:val="0"/>
                <w:numId w:val="6"/>
              </w:numPr>
              <w:spacing w:line="240" w:lineRule="auto"/>
              <w:ind w:firstLineChars="0"/>
              <w:rPr>
                <w:rFonts w:eastAsia="仿宋_GB2312" w:cs="Times New Roman"/>
                <w:szCs w:val="24"/>
              </w:rPr>
            </w:pPr>
            <w:r>
              <w:rPr>
                <w:rFonts w:eastAsia="仿宋_GB2312" w:cs="Times New Roman"/>
                <w:szCs w:val="24"/>
              </w:rPr>
              <w:t>使用一般</w:t>
            </w:r>
            <w:r>
              <w:rPr>
                <w:rFonts w:hint="eastAsia" w:eastAsia="仿宋_GB2312" w:cs="Times New Roman"/>
                <w:szCs w:val="24"/>
              </w:rPr>
              <w:t>实验室自制设备</w:t>
            </w:r>
            <w:r>
              <w:rPr>
                <w:rFonts w:eastAsia="仿宋_GB2312" w:cs="Times New Roman"/>
                <w:szCs w:val="24"/>
              </w:rPr>
              <w:t>；</w:t>
            </w:r>
          </w:p>
          <w:p w14:paraId="62407A35">
            <w:pPr>
              <w:pStyle w:val="8"/>
              <w:numPr>
                <w:ilvl w:val="0"/>
                <w:numId w:val="6"/>
              </w:numPr>
              <w:spacing w:line="240" w:lineRule="auto"/>
              <w:ind w:firstLineChars="0"/>
              <w:rPr>
                <w:rFonts w:eastAsia="仿宋_GB2312" w:cs="Times New Roman"/>
                <w:szCs w:val="24"/>
              </w:rPr>
            </w:pPr>
            <w:r>
              <w:rPr>
                <w:rFonts w:eastAsia="仿宋_GB2312" w:cs="Times New Roman"/>
                <w:szCs w:val="24"/>
              </w:rPr>
              <w:t>存储易燃易爆化学品＜5kg或5L；</w:t>
            </w:r>
          </w:p>
          <w:p w14:paraId="22C0EA5B">
            <w:pPr>
              <w:pStyle w:val="8"/>
              <w:numPr>
                <w:ilvl w:val="0"/>
                <w:numId w:val="6"/>
              </w:numPr>
              <w:spacing w:line="240" w:lineRule="auto"/>
              <w:ind w:firstLineChars="0"/>
              <w:rPr>
                <w:rFonts w:eastAsia="仿宋_GB2312" w:cs="Times New Roman"/>
                <w:szCs w:val="24"/>
              </w:rPr>
            </w:pPr>
            <w:r>
              <w:rPr>
                <w:rFonts w:eastAsia="仿宋_GB2312" w:cs="Times New Roman"/>
                <w:szCs w:val="24"/>
              </w:rPr>
              <w:t>实验室存储一般危化品总量＜50kg或50L；</w:t>
            </w:r>
          </w:p>
          <w:p w14:paraId="00957F06">
            <w:pPr>
              <w:pStyle w:val="8"/>
              <w:numPr>
                <w:ilvl w:val="0"/>
                <w:numId w:val="6"/>
              </w:numPr>
              <w:spacing w:line="240" w:lineRule="auto"/>
              <w:ind w:firstLineChars="0"/>
              <w:rPr>
                <w:rFonts w:eastAsia="仿宋_GB2312" w:cs="Times New Roman"/>
                <w:szCs w:val="24"/>
              </w:rPr>
            </w:pPr>
            <w:r>
              <w:rPr>
                <w:rFonts w:eastAsia="仿宋_GB2312" w:cs="Times New Roman"/>
                <w:szCs w:val="24"/>
              </w:rPr>
              <w:t>存储有毒、易燃气体1瓶；</w:t>
            </w:r>
          </w:p>
          <w:p w14:paraId="6D75CF3C">
            <w:pPr>
              <w:pStyle w:val="8"/>
              <w:numPr>
                <w:ilvl w:val="0"/>
                <w:numId w:val="6"/>
              </w:numPr>
              <w:spacing w:line="240" w:lineRule="auto"/>
              <w:ind w:firstLineChars="0"/>
              <w:rPr>
                <w:rFonts w:eastAsia="仿宋_GB2312" w:cs="Times New Roman"/>
                <w:szCs w:val="24"/>
              </w:rPr>
            </w:pPr>
            <w:r>
              <w:rPr>
                <w:rFonts w:eastAsia="仿宋_GB2312" w:cs="Times New Roman"/>
                <w:szCs w:val="24"/>
              </w:rPr>
              <w:t>存储或使用有活性的病原微生物，对人或其他动物感染性较弱，或感染后易治愈；</w:t>
            </w:r>
          </w:p>
          <w:p w14:paraId="45B409A9">
            <w:pPr>
              <w:pStyle w:val="8"/>
              <w:numPr>
                <w:ilvl w:val="0"/>
                <w:numId w:val="6"/>
              </w:numPr>
              <w:spacing w:line="240" w:lineRule="auto"/>
              <w:ind w:firstLineChars="0"/>
              <w:rPr>
                <w:rFonts w:eastAsia="仿宋_GB2312" w:cs="Times New Roman"/>
                <w:szCs w:val="24"/>
              </w:rPr>
            </w:pPr>
            <w:r>
              <w:rPr>
                <w:rFonts w:eastAsia="仿宋_GB2312" w:cs="Times New Roman"/>
                <w:szCs w:val="24"/>
              </w:rPr>
              <w:t>使用简单压力容器1~2台；</w:t>
            </w:r>
          </w:p>
          <w:p w14:paraId="6E11F6DD">
            <w:pPr>
              <w:pStyle w:val="8"/>
              <w:numPr>
                <w:ilvl w:val="0"/>
                <w:numId w:val="6"/>
              </w:numPr>
              <w:spacing w:line="240" w:lineRule="auto"/>
              <w:ind w:firstLineChars="0"/>
              <w:rPr>
                <w:rFonts w:eastAsia="仿宋_GB2312" w:cs="Times New Roman"/>
                <w:szCs w:val="24"/>
              </w:rPr>
            </w:pPr>
            <w:r>
              <w:rPr>
                <w:rFonts w:eastAsia="仿宋_GB2312" w:cs="Times New Roman"/>
                <w:szCs w:val="24"/>
              </w:rPr>
              <w:t>使用III类射线设备1台；</w:t>
            </w:r>
          </w:p>
          <w:p w14:paraId="00B358C2">
            <w:pPr>
              <w:pStyle w:val="8"/>
              <w:numPr>
                <w:ilvl w:val="0"/>
                <w:numId w:val="6"/>
              </w:numPr>
              <w:spacing w:line="240" w:lineRule="auto"/>
              <w:ind w:firstLineChars="0"/>
              <w:rPr>
                <w:rFonts w:eastAsia="仿宋_GB2312" w:cs="Times New Roman"/>
                <w:szCs w:val="24"/>
              </w:rPr>
            </w:pPr>
            <w:r>
              <w:rPr>
                <w:rFonts w:eastAsia="仿宋_GB2312" w:cs="Times New Roman"/>
                <w:szCs w:val="24"/>
              </w:rPr>
              <w:t>使用危险机加工装置1~2台；</w:t>
            </w:r>
          </w:p>
          <w:p w14:paraId="07241F34">
            <w:pPr>
              <w:pStyle w:val="8"/>
              <w:numPr>
                <w:ilvl w:val="0"/>
                <w:numId w:val="6"/>
              </w:numPr>
              <w:spacing w:line="240" w:lineRule="auto"/>
              <w:ind w:firstLineChars="0"/>
              <w:rPr>
                <w:rFonts w:eastAsia="仿宋_GB2312" w:cs="Times New Roman"/>
                <w:szCs w:val="24"/>
              </w:rPr>
            </w:pPr>
            <w:r>
              <w:rPr>
                <w:rFonts w:eastAsia="仿宋_GB2312" w:cs="Times New Roman"/>
                <w:szCs w:val="24"/>
              </w:rPr>
              <w:t>使用一般机加工装置的数量≥5台；</w:t>
            </w:r>
          </w:p>
          <w:p w14:paraId="63A94A73">
            <w:pPr>
              <w:pStyle w:val="8"/>
              <w:numPr>
                <w:ilvl w:val="0"/>
                <w:numId w:val="6"/>
              </w:numPr>
              <w:spacing w:line="240" w:lineRule="auto"/>
              <w:ind w:firstLineChars="0"/>
              <w:rPr>
                <w:rFonts w:eastAsia="仿宋_GB2312" w:cs="Times New Roman"/>
                <w:szCs w:val="24"/>
              </w:rPr>
            </w:pPr>
            <w:r>
              <w:rPr>
                <w:rFonts w:eastAsia="仿宋_GB2312" w:cs="Times New Roman"/>
                <w:szCs w:val="24"/>
              </w:rPr>
              <w:t>实验室一般用电设备负载≥80%设计负载；</w:t>
            </w:r>
          </w:p>
          <w:p w14:paraId="4EE23E09">
            <w:pPr>
              <w:pStyle w:val="8"/>
              <w:numPr>
                <w:ilvl w:val="0"/>
                <w:numId w:val="6"/>
              </w:numPr>
              <w:spacing w:line="240" w:lineRule="auto"/>
              <w:ind w:firstLineChars="0"/>
              <w:rPr>
                <w:rFonts w:eastAsia="仿宋_GB2312" w:cs="Times New Roman"/>
                <w:szCs w:val="24"/>
              </w:rPr>
            </w:pPr>
            <w:r>
              <w:rPr>
                <w:rFonts w:eastAsia="仿宋_GB2312" w:cs="Times New Roman"/>
                <w:szCs w:val="24"/>
              </w:rPr>
              <w:t>使用2、2M、1、1M类激光设备的数量≥3台；</w:t>
            </w:r>
          </w:p>
          <w:p w14:paraId="52A44ADA">
            <w:pPr>
              <w:pStyle w:val="8"/>
              <w:numPr>
                <w:ilvl w:val="0"/>
                <w:numId w:val="6"/>
              </w:numPr>
              <w:spacing w:line="240" w:lineRule="auto"/>
              <w:ind w:firstLineChars="0"/>
              <w:rPr>
                <w:rFonts w:eastAsia="仿宋_GB2312" w:cs="Times New Roman"/>
                <w:szCs w:val="24"/>
              </w:rPr>
            </w:pPr>
            <w:r>
              <w:rPr>
                <w:rFonts w:eastAsia="仿宋_GB2312" w:cs="Times New Roman"/>
                <w:szCs w:val="24"/>
              </w:rPr>
              <w:t>实验室每月危险废物产生量为20~100 L或kg；</w:t>
            </w:r>
          </w:p>
          <w:p w14:paraId="5D96558E">
            <w:pPr>
              <w:pStyle w:val="8"/>
              <w:numPr>
                <w:ilvl w:val="0"/>
                <w:numId w:val="6"/>
              </w:numPr>
              <w:spacing w:line="240" w:lineRule="auto"/>
              <w:ind w:firstLineChars="0"/>
              <w:rPr>
                <w:rFonts w:eastAsia="仿宋_GB2312" w:cs="Times New Roman"/>
                <w:szCs w:val="24"/>
              </w:rPr>
            </w:pPr>
            <w:r>
              <w:rPr>
                <w:rFonts w:eastAsia="仿宋_GB2312" w:cs="Times New Roman"/>
                <w:szCs w:val="24"/>
              </w:rPr>
              <w:t>实验室使用</w:t>
            </w:r>
            <w:r>
              <w:rPr>
                <w:rFonts w:hint="eastAsia" w:eastAsia="仿宋_GB2312" w:cs="Times New Roman"/>
                <w:szCs w:val="24"/>
              </w:rPr>
              <w:t>加热设备数量</w:t>
            </w:r>
            <w:r>
              <w:rPr>
                <w:rFonts w:eastAsia="仿宋_GB2312" w:cs="Times New Roman"/>
                <w:szCs w:val="24"/>
              </w:rPr>
              <w:t>3~5台；</w:t>
            </w:r>
          </w:p>
          <w:p w14:paraId="16E731FD">
            <w:pPr>
              <w:pStyle w:val="8"/>
              <w:numPr>
                <w:ilvl w:val="0"/>
                <w:numId w:val="6"/>
              </w:numPr>
              <w:spacing w:line="240" w:lineRule="auto"/>
              <w:ind w:firstLineChars="0"/>
              <w:rPr>
                <w:rFonts w:eastAsia="仿宋_GB2312" w:cs="Times New Roman"/>
                <w:szCs w:val="24"/>
              </w:rPr>
            </w:pPr>
            <w:r>
              <w:rPr>
                <w:rFonts w:eastAsia="仿宋_GB2312" w:cs="Times New Roman"/>
                <w:szCs w:val="24"/>
              </w:rPr>
              <w:t>实验室使用每1台明火设备；</w:t>
            </w:r>
          </w:p>
          <w:p w14:paraId="33860A6E">
            <w:pPr>
              <w:pStyle w:val="8"/>
              <w:numPr>
                <w:ilvl w:val="0"/>
                <w:numId w:val="6"/>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r w14:paraId="1698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trPr>
        <w:tc>
          <w:tcPr>
            <w:tcW w:w="1481" w:type="dxa"/>
            <w:vAlign w:val="center"/>
          </w:tcPr>
          <w:p w14:paraId="44CD18F4">
            <w:pPr>
              <w:spacing w:line="240" w:lineRule="auto"/>
              <w:ind w:firstLine="0" w:firstLineChars="0"/>
              <w:jc w:val="center"/>
              <w:rPr>
                <w:rFonts w:eastAsia="仿宋_GB2312" w:cs="Times New Roman"/>
                <w:szCs w:val="24"/>
              </w:rPr>
            </w:pPr>
            <w:r>
              <w:rPr>
                <w:rFonts w:eastAsia="仿宋_GB2312" w:cs="Times New Roman"/>
                <w:szCs w:val="24"/>
              </w:rPr>
              <w:t>5分</w:t>
            </w:r>
          </w:p>
        </w:tc>
        <w:tc>
          <w:tcPr>
            <w:tcW w:w="7478" w:type="dxa"/>
          </w:tcPr>
          <w:p w14:paraId="5A4F9DC1">
            <w:pPr>
              <w:pStyle w:val="8"/>
              <w:numPr>
                <w:ilvl w:val="0"/>
                <w:numId w:val="7"/>
              </w:numPr>
              <w:spacing w:line="240" w:lineRule="auto"/>
              <w:ind w:firstLineChars="0"/>
              <w:rPr>
                <w:rFonts w:eastAsia="仿宋_GB2312" w:cs="Times New Roman"/>
                <w:szCs w:val="24"/>
              </w:rPr>
            </w:pPr>
            <w:r>
              <w:rPr>
                <w:rFonts w:eastAsia="仿宋_GB2312" w:cs="Times New Roman"/>
                <w:szCs w:val="24"/>
              </w:rPr>
              <w:t>存储普通气体1~4瓶；</w:t>
            </w:r>
          </w:p>
          <w:p w14:paraId="44307A10">
            <w:pPr>
              <w:pStyle w:val="8"/>
              <w:numPr>
                <w:ilvl w:val="0"/>
                <w:numId w:val="7"/>
              </w:numPr>
              <w:spacing w:line="240" w:lineRule="auto"/>
              <w:ind w:firstLineChars="0"/>
              <w:rPr>
                <w:rFonts w:eastAsia="仿宋_GB2312" w:cs="Times New Roman"/>
                <w:szCs w:val="24"/>
              </w:rPr>
            </w:pPr>
            <w:r>
              <w:rPr>
                <w:rFonts w:eastAsia="仿宋_GB2312" w:cs="Times New Roman"/>
                <w:szCs w:val="24"/>
              </w:rPr>
              <w:t>使用一般机加工装置1~4台；</w:t>
            </w:r>
          </w:p>
          <w:p w14:paraId="755E8762">
            <w:pPr>
              <w:pStyle w:val="8"/>
              <w:numPr>
                <w:ilvl w:val="0"/>
                <w:numId w:val="7"/>
              </w:numPr>
              <w:spacing w:line="240" w:lineRule="auto"/>
              <w:ind w:firstLineChars="0"/>
              <w:rPr>
                <w:rFonts w:eastAsia="仿宋_GB2312" w:cs="Times New Roman"/>
                <w:szCs w:val="24"/>
              </w:rPr>
            </w:pPr>
            <w:r>
              <w:rPr>
                <w:rFonts w:eastAsia="仿宋_GB2312" w:cs="Times New Roman"/>
                <w:szCs w:val="24"/>
              </w:rPr>
              <w:t>使用2、2M、1、1M类激光设备1~2台；</w:t>
            </w:r>
          </w:p>
          <w:p w14:paraId="39912352">
            <w:pPr>
              <w:pStyle w:val="8"/>
              <w:numPr>
                <w:ilvl w:val="0"/>
                <w:numId w:val="7"/>
              </w:numPr>
              <w:spacing w:line="240" w:lineRule="auto"/>
              <w:ind w:firstLineChars="0"/>
              <w:rPr>
                <w:rFonts w:eastAsia="仿宋_GB2312" w:cs="Times New Roman"/>
                <w:szCs w:val="24"/>
              </w:rPr>
            </w:pPr>
            <w:r>
              <w:rPr>
                <w:rFonts w:eastAsia="仿宋_GB2312" w:cs="Times New Roman"/>
                <w:szCs w:val="24"/>
              </w:rPr>
              <w:t>实验室每月危险废物产生量＜20 L或kg；</w:t>
            </w:r>
          </w:p>
          <w:p w14:paraId="699EFD6F">
            <w:pPr>
              <w:pStyle w:val="8"/>
              <w:numPr>
                <w:ilvl w:val="0"/>
                <w:numId w:val="7"/>
              </w:numPr>
              <w:spacing w:line="240" w:lineRule="auto"/>
              <w:ind w:firstLineChars="0"/>
              <w:rPr>
                <w:rFonts w:eastAsia="仿宋_GB2312" w:cs="Times New Roman"/>
                <w:szCs w:val="24"/>
              </w:rPr>
            </w:pPr>
            <w:r>
              <w:rPr>
                <w:rFonts w:eastAsia="仿宋_GB2312" w:cs="Times New Roman"/>
                <w:szCs w:val="24"/>
              </w:rPr>
              <w:t>实验室使用加热设备</w:t>
            </w:r>
            <w:r>
              <w:rPr>
                <w:rFonts w:hint="eastAsia" w:eastAsia="仿宋_GB2312" w:cs="Times New Roman"/>
                <w:szCs w:val="24"/>
              </w:rPr>
              <w:t>数量</w:t>
            </w:r>
            <w:r>
              <w:rPr>
                <w:rFonts w:eastAsia="仿宋_GB2312" w:cs="Times New Roman"/>
                <w:szCs w:val="24"/>
              </w:rPr>
              <w:t>1~2台；</w:t>
            </w:r>
          </w:p>
          <w:p w14:paraId="1164DD78">
            <w:pPr>
              <w:pStyle w:val="8"/>
              <w:numPr>
                <w:ilvl w:val="0"/>
                <w:numId w:val="7"/>
              </w:numPr>
              <w:spacing w:line="240" w:lineRule="auto"/>
              <w:ind w:firstLineChars="0"/>
              <w:rPr>
                <w:rFonts w:eastAsia="仿宋_GB2312" w:cs="Times New Roman"/>
                <w:szCs w:val="24"/>
              </w:rPr>
            </w:pPr>
            <w:r>
              <w:rPr>
                <w:rFonts w:eastAsia="仿宋_GB2312" w:cs="Times New Roman"/>
                <w:szCs w:val="24"/>
              </w:rPr>
              <w:t>存放危险化学品的防爆冰箱或经防爆改造冰箱数量每1台</w:t>
            </w:r>
            <w:r>
              <w:rPr>
                <w:rFonts w:hint="eastAsia" w:eastAsia="仿宋_GB2312" w:cs="Times New Roman"/>
                <w:szCs w:val="24"/>
              </w:rPr>
              <w:t>；</w:t>
            </w:r>
          </w:p>
          <w:p w14:paraId="7A786126">
            <w:pPr>
              <w:pStyle w:val="8"/>
              <w:numPr>
                <w:ilvl w:val="0"/>
                <w:numId w:val="7"/>
              </w:numPr>
              <w:spacing w:line="240" w:lineRule="auto"/>
              <w:ind w:firstLineChars="0"/>
              <w:rPr>
                <w:rFonts w:eastAsia="仿宋_GB2312" w:cs="Times New Roman"/>
                <w:szCs w:val="24"/>
              </w:rPr>
            </w:pPr>
            <w:r>
              <w:rPr>
                <w:rFonts w:eastAsia="仿宋_GB2312" w:cs="Times New Roman"/>
                <w:szCs w:val="24"/>
              </w:rPr>
              <w:t>实验室使用每1台快捷电热设备；</w:t>
            </w:r>
          </w:p>
          <w:p w14:paraId="740C8646">
            <w:pPr>
              <w:pStyle w:val="8"/>
              <w:numPr>
                <w:ilvl w:val="0"/>
                <w:numId w:val="7"/>
              </w:numPr>
              <w:spacing w:line="240" w:lineRule="auto"/>
              <w:ind w:firstLineChars="0"/>
              <w:rPr>
                <w:rFonts w:eastAsia="仿宋_GB2312" w:cs="Times New Roman"/>
                <w:szCs w:val="24"/>
              </w:rPr>
            </w:pPr>
            <w:r>
              <w:rPr>
                <w:rFonts w:eastAsia="仿宋_GB2312" w:cs="Times New Roman"/>
                <w:szCs w:val="24"/>
              </w:rPr>
              <w:t>自行</w:t>
            </w:r>
            <w:r>
              <w:rPr>
                <w:rFonts w:hint="eastAsia" w:eastAsia="仿宋_GB2312" w:cs="Times New Roman"/>
                <w:szCs w:val="24"/>
              </w:rPr>
              <w:t>规定</w:t>
            </w:r>
            <w:r>
              <w:rPr>
                <w:rFonts w:eastAsia="仿宋_GB2312" w:cs="Times New Roman"/>
                <w:szCs w:val="24"/>
              </w:rPr>
              <w:t>的其他情况</w:t>
            </w:r>
          </w:p>
        </w:tc>
      </w:tr>
    </w:tbl>
    <w:p w14:paraId="5D4B5537">
      <w:pPr>
        <w:spacing w:line="240" w:lineRule="auto"/>
        <w:ind w:firstLine="0" w:firstLineChars="0"/>
        <w:rPr>
          <w:rFonts w:eastAsia="仿宋_GB2312" w:cs="Times New Roman"/>
        </w:rPr>
      </w:pPr>
      <w:r>
        <w:rPr>
          <w:rFonts w:eastAsia="仿宋_GB2312" w:cs="Times New Roman"/>
        </w:rPr>
        <w:t>注：</w:t>
      </w:r>
    </w:p>
    <w:p w14:paraId="6B6E2E41">
      <w:pPr>
        <w:spacing w:line="240" w:lineRule="auto"/>
        <w:ind w:firstLine="480"/>
        <w:rPr>
          <w:rFonts w:eastAsia="仿宋_GB2312" w:cs="Times New Roman"/>
        </w:rPr>
      </w:pPr>
      <w:r>
        <w:rPr>
          <w:rFonts w:eastAsia="仿宋_GB2312" w:cs="Times New Roman"/>
        </w:rPr>
        <w:t>1.表中所称实验室房间均以面积为50m</w:t>
      </w:r>
      <w:r>
        <w:rPr>
          <w:rFonts w:eastAsia="仿宋_GB2312" w:cs="Times New Roman"/>
          <w:vertAlign w:val="superscript"/>
        </w:rPr>
        <w:t>2</w:t>
      </w:r>
      <w:r>
        <w:rPr>
          <w:rFonts w:eastAsia="仿宋_GB2312" w:cs="Times New Roman"/>
        </w:rPr>
        <w:t>计，其他面积可按比例调整评价内容；</w:t>
      </w:r>
    </w:p>
    <w:p w14:paraId="2A3F74B3">
      <w:pPr>
        <w:spacing w:line="240" w:lineRule="auto"/>
        <w:ind w:firstLine="480"/>
        <w:rPr>
          <w:rFonts w:eastAsia="仿宋_GB2312" w:cs="Times New Roman"/>
        </w:rPr>
      </w:pPr>
      <w:r>
        <w:rPr>
          <w:rFonts w:eastAsia="仿宋_GB2312" w:cs="Times New Roman"/>
        </w:rPr>
        <w:t>2.表中符合任</w:t>
      </w:r>
      <w:r>
        <w:rPr>
          <w:rFonts w:hint="eastAsia" w:eastAsia="仿宋_GB2312" w:cs="Times New Roman"/>
        </w:rPr>
        <w:t>1</w:t>
      </w:r>
      <w:r>
        <w:rPr>
          <w:rFonts w:eastAsia="仿宋_GB2312" w:cs="Times New Roman"/>
        </w:rPr>
        <w:t>种情况计</w:t>
      </w:r>
      <w:r>
        <w:rPr>
          <w:rFonts w:hint="eastAsia" w:eastAsia="仿宋_GB2312" w:cs="Times New Roman"/>
        </w:rPr>
        <w:t>相应分数</w:t>
      </w:r>
      <w:r>
        <w:rPr>
          <w:rFonts w:eastAsia="仿宋_GB2312" w:cs="Times New Roman"/>
        </w:rPr>
        <w:t>，符合多种情况</w:t>
      </w:r>
      <w:r>
        <w:rPr>
          <w:rFonts w:hint="eastAsia" w:eastAsia="仿宋_GB2312" w:cs="Times New Roman"/>
        </w:rPr>
        <w:t>，分数</w:t>
      </w:r>
      <w:r>
        <w:rPr>
          <w:rFonts w:eastAsia="仿宋_GB2312" w:cs="Times New Roman"/>
        </w:rPr>
        <w:t>累加计算</w:t>
      </w:r>
      <w:r>
        <w:rPr>
          <w:rFonts w:hint="eastAsia" w:eastAsia="仿宋_GB2312" w:cs="Times New Roman"/>
        </w:rPr>
        <w:t>，</w:t>
      </w:r>
      <w:r>
        <w:rPr>
          <w:rFonts w:eastAsia="仿宋_GB2312" w:cs="Times New Roman"/>
        </w:rPr>
        <w:t>最高100分；</w:t>
      </w:r>
    </w:p>
    <w:p w14:paraId="3308BB2A">
      <w:pPr>
        <w:spacing w:line="240" w:lineRule="auto"/>
        <w:ind w:firstLine="480"/>
        <w:rPr>
          <w:rFonts w:eastAsia="仿宋_GB2312" w:cs="Times New Roman"/>
        </w:rPr>
        <w:sectPr>
          <w:pgSz w:w="11900" w:h="16840"/>
          <w:pgMar w:top="2098" w:right="1474" w:bottom="1985" w:left="1587" w:header="851" w:footer="1531" w:gutter="0"/>
          <w:pgNumType w:fmt="decimal"/>
          <w:cols w:space="425" w:num="1"/>
          <w:docGrid w:type="linesAndChars" w:linePitch="423" w:charSpace="0"/>
        </w:sectPr>
      </w:pPr>
      <w:r>
        <w:rPr>
          <w:rFonts w:eastAsia="仿宋_GB2312" w:cs="Times New Roman"/>
        </w:rPr>
        <w:t>3.</w:t>
      </w:r>
      <w:r>
        <w:rPr>
          <w:rFonts w:hint="eastAsia" w:eastAsia="仿宋_GB2312" w:cs="Times New Roman"/>
        </w:rPr>
        <w:t>实验室自制设备</w:t>
      </w:r>
      <w:r>
        <w:rPr>
          <w:rFonts w:eastAsia="仿宋_GB2312" w:cs="Times New Roman"/>
        </w:rPr>
        <w:t>，是指由使用人自行或者委托其他单位进行设计、制造、安装的，并以其为载体进行实验活</w:t>
      </w:r>
      <w:bookmarkStart w:id="0" w:name="_GoBack"/>
      <w:bookmarkEnd w:id="0"/>
      <w:r>
        <w:rPr>
          <w:rFonts w:eastAsia="仿宋_GB2312" w:cs="Times New Roman"/>
        </w:rPr>
        <w:t>动的非标设备；对标准设备进行改造也参照自制</w:t>
      </w:r>
      <w:r>
        <w:rPr>
          <w:rFonts w:hint="eastAsia" w:eastAsia="仿宋_GB2312" w:cs="Times New Roman"/>
        </w:rPr>
        <w:t>设备</w:t>
      </w:r>
      <w:r>
        <w:rPr>
          <w:rFonts w:eastAsia="仿宋_GB2312" w:cs="Times New Roman"/>
        </w:rPr>
        <w:t>进行管理。</w:t>
      </w:r>
    </w:p>
    <w:p w14:paraId="3BA89DA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17AB3"/>
    <w:multiLevelType w:val="singleLevel"/>
    <w:tmpl w:val="E8C17AB3"/>
    <w:lvl w:ilvl="0" w:tentative="0">
      <w:start w:val="1"/>
      <w:numFmt w:val="decimal"/>
      <w:suff w:val="nothing"/>
      <w:lvlText w:val="（%1）"/>
      <w:lvlJc w:val="left"/>
    </w:lvl>
  </w:abstractNum>
  <w:abstractNum w:abstractNumId="1">
    <w:nsid w:val="1E00253F"/>
    <w:multiLevelType w:val="multilevel"/>
    <w:tmpl w:val="1E00253F"/>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4F83913"/>
    <w:multiLevelType w:val="multilevel"/>
    <w:tmpl w:val="34F83913"/>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A2300E8"/>
    <w:multiLevelType w:val="multilevel"/>
    <w:tmpl w:val="6A2300E8"/>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B1E2370"/>
    <w:multiLevelType w:val="multilevel"/>
    <w:tmpl w:val="6B1E2370"/>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11A52BB"/>
    <w:multiLevelType w:val="multilevel"/>
    <w:tmpl w:val="711A52B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59B018B"/>
    <w:multiLevelType w:val="multilevel"/>
    <w:tmpl w:val="759B018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ODE5MWUzMDAwMmIxYjgzODZhNzcxNjE0NGQ3YTkifQ=="/>
  </w:docVars>
  <w:rsids>
    <w:rsidRoot w:val="00000000"/>
    <w:rsid w:val="00052CD3"/>
    <w:rsid w:val="11336595"/>
    <w:rsid w:val="23F21382"/>
    <w:rsid w:val="32A10BAA"/>
    <w:rsid w:val="42BC0E36"/>
    <w:rsid w:val="43A01E09"/>
    <w:rsid w:val="4BA075A4"/>
    <w:rsid w:val="56612963"/>
    <w:rsid w:val="59F028B9"/>
    <w:rsid w:val="61202383"/>
    <w:rsid w:val="6B4F780B"/>
    <w:rsid w:val="6C9A6F13"/>
    <w:rsid w:val="72E51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5">
    <w:name w:val="Table Grid"/>
    <w:basedOn w:val="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styleId="8">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6366</Words>
  <Characters>6546</Characters>
  <Lines>0</Lines>
  <Paragraphs>0</Paragraphs>
  <TotalTime>6</TotalTime>
  <ScaleCrop>false</ScaleCrop>
  <LinksUpToDate>false</LinksUpToDate>
  <CharactersWithSpaces>6640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2022-10-03T03:13:00Z</dcterms:created>
  <dc:creator>zxl</dc:creator>
  <cp:lastModifiedBy>浩焱1400834272</cp:lastModifiedBy>
  <cp:lastPrinted>2022-10-03T04:35:00Z</cp:lastPrinted>
  <dcterms:modified xsi:type="dcterms:W3CDTF">2025-10-13T01:59:07Z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9BD3ACABE1C640E68FA3069CBB6A65AE</vt:lpwstr>
  </property>
  <property fmtid="{D5CDD505-2E9C-101B-9397-08002B2CF9AE}" pid="4" name="KSOTemplateDocerSaveRecord">
    <vt:lpwstr>eyJoZGlkIjoiYmYwODE5MWUzMDAwMmIxYjgzODZhNzcxNjE0NGQ3YTkiLCJ1c2VySWQiOiIxNjA1MDM1MiJ9</vt:lpwstr>
  </property>
</Properties>
</file>